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4.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427" w:rsidRDefault="00EC6427" w:rsidP="0068104D">
      <w:pPr>
        <w:jc w:val="center"/>
      </w:pPr>
    </w:p>
    <w:p w:rsidR="003A42BF" w:rsidRDefault="003A42BF" w:rsidP="0068104D">
      <w:pPr>
        <w:jc w:val="center"/>
      </w:pPr>
    </w:p>
    <w:p w:rsidR="003A42BF" w:rsidRPr="00685582" w:rsidRDefault="003A42BF" w:rsidP="0068104D">
      <w:pPr>
        <w:jc w:val="center"/>
      </w:pPr>
    </w:p>
    <w:p w:rsidR="00EC6427" w:rsidRPr="00685582" w:rsidRDefault="00D81E5B" w:rsidP="0068104D">
      <w:pPr>
        <w:jc w:val="center"/>
      </w:pPr>
      <w:r>
        <w:t>DEUXIÈME SECTION</w:t>
      </w:r>
    </w:p>
    <w:p w:rsidR="00EC6427" w:rsidRDefault="00EC6427" w:rsidP="0068104D">
      <w:pPr>
        <w:jc w:val="center"/>
      </w:pPr>
    </w:p>
    <w:p w:rsidR="003A42BF" w:rsidRDefault="003A42BF" w:rsidP="0068104D">
      <w:pPr>
        <w:jc w:val="center"/>
      </w:pPr>
    </w:p>
    <w:p w:rsidR="003A42BF" w:rsidRDefault="003A42BF" w:rsidP="0068104D">
      <w:pPr>
        <w:jc w:val="center"/>
      </w:pPr>
    </w:p>
    <w:p w:rsidR="003A42BF" w:rsidRDefault="003A42BF" w:rsidP="0068104D">
      <w:pPr>
        <w:jc w:val="center"/>
      </w:pPr>
    </w:p>
    <w:p w:rsidR="003A42BF" w:rsidRDefault="003A42BF" w:rsidP="0068104D">
      <w:pPr>
        <w:jc w:val="center"/>
      </w:pPr>
    </w:p>
    <w:p w:rsidR="003A42BF" w:rsidRPr="00685582" w:rsidRDefault="003A42BF" w:rsidP="0068104D">
      <w:pPr>
        <w:jc w:val="center"/>
      </w:pPr>
    </w:p>
    <w:p w:rsidR="00EC6427" w:rsidRPr="00685582" w:rsidRDefault="00EC6427" w:rsidP="0068104D">
      <w:pPr>
        <w:jc w:val="center"/>
        <w:rPr>
          <w:b/>
        </w:rPr>
      </w:pPr>
      <w:bookmarkStart w:id="0" w:name="To"/>
      <w:r w:rsidRPr="00685582">
        <w:rPr>
          <w:b/>
        </w:rPr>
        <w:t xml:space="preserve">AFFAIRE </w:t>
      </w:r>
      <w:bookmarkEnd w:id="0"/>
      <w:r w:rsidR="00D81E5B">
        <w:rPr>
          <w:b/>
        </w:rPr>
        <w:t>DHAHBI c. ITALIE</w:t>
      </w:r>
    </w:p>
    <w:p w:rsidR="00EC6427" w:rsidRPr="00685582" w:rsidRDefault="00EC6427" w:rsidP="0068104D">
      <w:pPr>
        <w:jc w:val="center"/>
      </w:pPr>
    </w:p>
    <w:p w:rsidR="003A42BF" w:rsidRDefault="00EC6427" w:rsidP="0068104D">
      <w:pPr>
        <w:jc w:val="center"/>
        <w:rPr>
          <w:szCs w:val="24"/>
        </w:rPr>
      </w:pPr>
      <w:r w:rsidRPr="00685582">
        <w:rPr>
          <w:i/>
        </w:rPr>
        <w:t>(</w:t>
      </w:r>
      <w:r w:rsidR="00D81E5B" w:rsidRPr="00685582">
        <w:rPr>
          <w:i/>
        </w:rPr>
        <w:t>Requête n</w:t>
      </w:r>
      <w:r w:rsidR="00D81E5B" w:rsidRPr="00685582">
        <w:rPr>
          <w:i/>
          <w:vertAlign w:val="superscript"/>
        </w:rPr>
        <w:t>o</w:t>
      </w:r>
      <w:r w:rsidR="00D81E5B" w:rsidRPr="00685582">
        <w:rPr>
          <w:i/>
        </w:rPr>
        <w:t xml:space="preserve"> </w:t>
      </w:r>
      <w:r w:rsidR="00D81E5B">
        <w:rPr>
          <w:i/>
        </w:rPr>
        <w:t>17120/09</w:t>
      </w:r>
      <w:r w:rsidRPr="00685582">
        <w:rPr>
          <w:i/>
        </w:rPr>
        <w:t>)</w:t>
      </w:r>
    </w:p>
    <w:p w:rsidR="003A42BF" w:rsidRDefault="003A42BF" w:rsidP="0068104D">
      <w:pPr>
        <w:jc w:val="center"/>
        <w:rPr>
          <w:szCs w:val="24"/>
          <w:u w:val="single"/>
        </w:rPr>
      </w:pPr>
    </w:p>
    <w:p w:rsidR="003A42BF" w:rsidRDefault="003A42BF" w:rsidP="0068104D">
      <w:pPr>
        <w:jc w:val="center"/>
        <w:rPr>
          <w:szCs w:val="24"/>
          <w:u w:val="single"/>
        </w:rPr>
      </w:pPr>
    </w:p>
    <w:p w:rsidR="003A42BF" w:rsidRDefault="003A42BF" w:rsidP="0068104D">
      <w:pPr>
        <w:jc w:val="center"/>
        <w:rPr>
          <w:szCs w:val="24"/>
          <w:u w:val="single"/>
        </w:rPr>
      </w:pPr>
    </w:p>
    <w:p w:rsidR="003A42BF" w:rsidRDefault="003A42BF" w:rsidP="0068104D">
      <w:pPr>
        <w:jc w:val="center"/>
        <w:rPr>
          <w:szCs w:val="24"/>
          <w:u w:val="single"/>
        </w:rPr>
      </w:pPr>
    </w:p>
    <w:p w:rsidR="003A42BF" w:rsidRDefault="003A42BF" w:rsidP="0068104D">
      <w:pPr>
        <w:jc w:val="center"/>
        <w:rPr>
          <w:szCs w:val="24"/>
          <w:u w:val="single"/>
        </w:rPr>
      </w:pPr>
    </w:p>
    <w:p w:rsidR="003A42BF" w:rsidRDefault="003A42BF" w:rsidP="0068104D">
      <w:pPr>
        <w:jc w:val="center"/>
        <w:rPr>
          <w:szCs w:val="24"/>
          <w:u w:val="single"/>
        </w:rPr>
      </w:pPr>
    </w:p>
    <w:p w:rsidR="003A42BF" w:rsidRDefault="003A42BF" w:rsidP="0068104D">
      <w:pPr>
        <w:jc w:val="center"/>
        <w:rPr>
          <w:szCs w:val="24"/>
          <w:u w:val="single"/>
        </w:rPr>
      </w:pPr>
    </w:p>
    <w:p w:rsidR="003A42BF" w:rsidRDefault="003A42BF" w:rsidP="0068104D">
      <w:pPr>
        <w:jc w:val="center"/>
        <w:rPr>
          <w:szCs w:val="24"/>
          <w:u w:val="single"/>
        </w:rPr>
      </w:pPr>
    </w:p>
    <w:p w:rsidR="003A42BF" w:rsidRDefault="003A42BF" w:rsidP="0068104D">
      <w:pPr>
        <w:jc w:val="center"/>
        <w:rPr>
          <w:szCs w:val="24"/>
          <w:u w:val="single"/>
        </w:rPr>
      </w:pPr>
    </w:p>
    <w:p w:rsidR="003A42BF" w:rsidRPr="003A42BF" w:rsidRDefault="003A42BF" w:rsidP="003A42BF">
      <w:pPr>
        <w:jc w:val="center"/>
        <w:rPr>
          <w:szCs w:val="24"/>
        </w:rPr>
      </w:pPr>
      <w:r>
        <w:rPr>
          <w:szCs w:val="24"/>
        </w:rPr>
        <w:t>ARRÊT</w:t>
      </w:r>
    </w:p>
    <w:p w:rsidR="003A42BF" w:rsidRDefault="003A42BF" w:rsidP="0068104D">
      <w:pPr>
        <w:pStyle w:val="JuCase"/>
      </w:pPr>
    </w:p>
    <w:p w:rsidR="003A42BF" w:rsidRDefault="003A42BF" w:rsidP="002141B9">
      <w:pPr>
        <w:pStyle w:val="ECHRPara"/>
        <w:ind w:firstLine="0"/>
        <w:jc w:val="center"/>
      </w:pPr>
    </w:p>
    <w:p w:rsidR="003A42BF" w:rsidRDefault="003A42BF" w:rsidP="002141B9">
      <w:pPr>
        <w:pStyle w:val="ECHRPara"/>
        <w:ind w:firstLine="0"/>
        <w:jc w:val="center"/>
      </w:pPr>
    </w:p>
    <w:p w:rsidR="003A42BF" w:rsidRDefault="003A42BF" w:rsidP="002141B9">
      <w:pPr>
        <w:pStyle w:val="ECHRPara"/>
        <w:ind w:firstLine="0"/>
        <w:jc w:val="center"/>
      </w:pPr>
    </w:p>
    <w:p w:rsidR="003A42BF" w:rsidRDefault="003A42BF" w:rsidP="002141B9">
      <w:pPr>
        <w:pStyle w:val="ECHRPara"/>
        <w:ind w:firstLine="0"/>
        <w:jc w:val="center"/>
      </w:pPr>
      <w:r>
        <w:t>STRASBOURG</w:t>
      </w:r>
    </w:p>
    <w:p w:rsidR="003A42BF" w:rsidRDefault="003A42BF" w:rsidP="002141B9">
      <w:pPr>
        <w:pStyle w:val="ECHRPara"/>
        <w:ind w:firstLine="0"/>
        <w:jc w:val="center"/>
      </w:pPr>
    </w:p>
    <w:p w:rsidR="003A42BF" w:rsidRDefault="00C706FD" w:rsidP="002141B9">
      <w:pPr>
        <w:pStyle w:val="ECHRPara"/>
        <w:ind w:firstLine="0"/>
        <w:jc w:val="center"/>
      </w:pPr>
      <w:r>
        <w:t>8</w:t>
      </w:r>
      <w:r w:rsidR="008D4ECE">
        <w:t xml:space="preserve"> avril 2014</w:t>
      </w:r>
    </w:p>
    <w:p w:rsidR="003A42BF" w:rsidRDefault="003A42BF" w:rsidP="002141B9">
      <w:pPr>
        <w:pStyle w:val="ECHRPara"/>
        <w:ind w:firstLine="0"/>
        <w:jc w:val="center"/>
      </w:pPr>
    </w:p>
    <w:p w:rsidR="008D4ECE" w:rsidRDefault="008D4ECE" w:rsidP="002141B9">
      <w:pPr>
        <w:pStyle w:val="ECHRPara"/>
        <w:ind w:firstLine="0"/>
        <w:jc w:val="center"/>
      </w:pPr>
    </w:p>
    <w:p w:rsidR="008D4ECE" w:rsidRDefault="008D4ECE" w:rsidP="002141B9">
      <w:pPr>
        <w:pStyle w:val="ECHRPara"/>
        <w:ind w:firstLine="0"/>
        <w:jc w:val="center"/>
      </w:pPr>
    </w:p>
    <w:p w:rsidR="003A42BF" w:rsidRDefault="003A42BF" w:rsidP="002141B9">
      <w:pPr>
        <w:pStyle w:val="ECHRPara"/>
        <w:ind w:firstLine="0"/>
        <w:jc w:val="center"/>
      </w:pPr>
    </w:p>
    <w:p w:rsidR="003A42BF" w:rsidRDefault="003A42BF" w:rsidP="002141B9">
      <w:pPr>
        <w:pStyle w:val="ECHRPara"/>
        <w:ind w:firstLine="0"/>
        <w:jc w:val="left"/>
        <w:rPr>
          <w:i/>
          <w:sz w:val="22"/>
        </w:rPr>
      </w:pPr>
      <w:r>
        <w:rPr>
          <w:i/>
          <w:sz w:val="22"/>
        </w:rPr>
        <w:t>Cet arrêt deviendra définitif dans les conditions définies à l</w:t>
      </w:r>
      <w:r w:rsidR="00AE1D81">
        <w:rPr>
          <w:i/>
          <w:sz w:val="22"/>
        </w:rPr>
        <w:t>’</w:t>
      </w:r>
      <w:r>
        <w:rPr>
          <w:i/>
          <w:sz w:val="22"/>
        </w:rPr>
        <w:t>article 44 § 2 de la Convention. Il peu</w:t>
      </w:r>
      <w:r w:rsidR="008D4ECE">
        <w:rPr>
          <w:i/>
          <w:sz w:val="22"/>
        </w:rPr>
        <w:t>t subir des retouches de forme.</w:t>
      </w:r>
    </w:p>
    <w:p w:rsidR="002141B9" w:rsidRDefault="002141B9" w:rsidP="002141B9">
      <w:pPr>
        <w:pStyle w:val="ECHRPara"/>
        <w:ind w:firstLine="0"/>
        <w:jc w:val="left"/>
        <w:rPr>
          <w:i/>
          <w:sz w:val="22"/>
        </w:rPr>
      </w:pPr>
    </w:p>
    <w:p w:rsidR="002141B9" w:rsidRPr="003A42BF" w:rsidRDefault="002141B9" w:rsidP="002141B9">
      <w:pPr>
        <w:pStyle w:val="ECHRPara"/>
        <w:ind w:firstLine="0"/>
        <w:jc w:val="left"/>
        <w:sectPr w:rsidR="002141B9" w:rsidRPr="003A42BF" w:rsidSect="003A42BF">
          <w:headerReference w:type="even" r:id="rId9"/>
          <w:headerReference w:type="default" r:id="rId10"/>
          <w:footerReference w:type="even" r:id="rId11"/>
          <w:footerReference w:type="default" r:id="rId12"/>
          <w:headerReference w:type="first" r:id="rId13"/>
          <w:footerReference w:type="first" r:id="rId14"/>
          <w:pgSz w:w="11906" w:h="16838" w:code="9"/>
          <w:pgMar w:top="2274" w:right="2274" w:bottom="2274" w:left="2274" w:header="1701" w:footer="720" w:gutter="0"/>
          <w:pgNumType w:start="1"/>
          <w:cols w:space="720"/>
          <w:titlePg/>
          <w:docGrid w:linePitch="326"/>
        </w:sectPr>
      </w:pPr>
    </w:p>
    <w:p w:rsidR="00EC6427" w:rsidRPr="00685582" w:rsidRDefault="00EC6427" w:rsidP="0068104D">
      <w:pPr>
        <w:pStyle w:val="JuCase"/>
      </w:pPr>
      <w:r w:rsidRPr="00685582">
        <w:t>En l</w:t>
      </w:r>
      <w:r w:rsidR="00AE1D81">
        <w:t>’</w:t>
      </w:r>
      <w:r w:rsidRPr="00685582">
        <w:t xml:space="preserve">affaire </w:t>
      </w:r>
      <w:r w:rsidR="00D81E5B">
        <w:t>Dhahbi c. Italie</w:t>
      </w:r>
      <w:r w:rsidRPr="00685582">
        <w:t>,</w:t>
      </w:r>
    </w:p>
    <w:p w:rsidR="00362D1F" w:rsidRPr="00685582" w:rsidRDefault="00EC6427" w:rsidP="0068104D">
      <w:pPr>
        <w:pStyle w:val="ECHRPara"/>
      </w:pPr>
      <w:r w:rsidRPr="00685582">
        <w:t xml:space="preserve">La Cour européenne des </w:t>
      </w:r>
      <w:r w:rsidR="00445E54" w:rsidRPr="00685582">
        <w:t>d</w:t>
      </w:r>
      <w:r w:rsidRPr="00685582">
        <w:t>roits de l</w:t>
      </w:r>
      <w:r w:rsidR="00AE1D81">
        <w:t>’</w:t>
      </w:r>
      <w:r w:rsidR="00445E54" w:rsidRPr="00685582">
        <w:t>h</w:t>
      </w:r>
      <w:r w:rsidRPr="00685582">
        <w:t>omme</w:t>
      </w:r>
      <w:r w:rsidR="00DE593D" w:rsidRPr="00685582">
        <w:t xml:space="preserve"> (</w:t>
      </w:r>
      <w:r w:rsidR="00D81E5B">
        <w:t>deuxième section</w:t>
      </w:r>
      <w:r w:rsidR="00DE593D" w:rsidRPr="00685582">
        <w:t>)</w:t>
      </w:r>
      <w:r w:rsidRPr="00685582">
        <w:t xml:space="preserve">, siégeant en </w:t>
      </w:r>
      <w:r w:rsidR="00D81E5B" w:rsidRPr="00685582">
        <w:t xml:space="preserve">une </w:t>
      </w:r>
      <w:r w:rsidR="00D81E5B">
        <w:t>chambre</w:t>
      </w:r>
      <w:r w:rsidR="00D81E5B" w:rsidRPr="00685582">
        <w:t xml:space="preserve"> composée</w:t>
      </w:r>
      <w:r w:rsidR="004702BA" w:rsidRPr="00685582">
        <w:t xml:space="preserve"> </w:t>
      </w:r>
      <w:r w:rsidR="00362D1F" w:rsidRPr="00685582">
        <w:t>de :</w:t>
      </w:r>
    </w:p>
    <w:p w:rsidR="0009234F" w:rsidRPr="00685582" w:rsidRDefault="003A42BF" w:rsidP="0068104D">
      <w:pPr>
        <w:pStyle w:val="ECHRDecisionBody"/>
      </w:pPr>
      <w:r w:rsidRPr="003A42BF">
        <w:tab/>
        <w:t>Işıl</w:t>
      </w:r>
      <w:r>
        <w:t xml:space="preserve"> </w:t>
      </w:r>
      <w:r w:rsidRPr="003A42BF">
        <w:t>Karakaş</w:t>
      </w:r>
      <w:r>
        <w:t>,</w:t>
      </w:r>
      <w:r w:rsidRPr="003A42BF">
        <w:rPr>
          <w:i/>
        </w:rPr>
        <w:t xml:space="preserve"> présidente,</w:t>
      </w:r>
      <w:r>
        <w:rPr>
          <w:i/>
        </w:rPr>
        <w:br/>
      </w:r>
      <w:r w:rsidRPr="003A42BF">
        <w:tab/>
        <w:t>Guido</w:t>
      </w:r>
      <w:r>
        <w:t xml:space="preserve"> </w:t>
      </w:r>
      <w:r w:rsidRPr="003A42BF">
        <w:t>Raimondi</w:t>
      </w:r>
      <w:r>
        <w:t>,</w:t>
      </w:r>
      <w:r>
        <w:rPr>
          <w:i/>
        </w:rPr>
        <w:br/>
      </w:r>
      <w:r w:rsidRPr="003A42BF">
        <w:tab/>
        <w:t>Peer</w:t>
      </w:r>
      <w:r>
        <w:t xml:space="preserve"> </w:t>
      </w:r>
      <w:r w:rsidRPr="003A42BF">
        <w:t>Lorenzen</w:t>
      </w:r>
      <w:r>
        <w:t>,</w:t>
      </w:r>
      <w:r>
        <w:rPr>
          <w:i/>
        </w:rPr>
        <w:br/>
      </w:r>
      <w:r w:rsidRPr="003A42BF">
        <w:tab/>
        <w:t>Nebojša</w:t>
      </w:r>
      <w:r>
        <w:t xml:space="preserve"> </w:t>
      </w:r>
      <w:r w:rsidRPr="003A42BF">
        <w:t>Vučinić</w:t>
      </w:r>
      <w:r>
        <w:t>,</w:t>
      </w:r>
      <w:r>
        <w:rPr>
          <w:i/>
        </w:rPr>
        <w:br/>
      </w:r>
      <w:r w:rsidRPr="003A42BF">
        <w:tab/>
        <w:t>Helen</w:t>
      </w:r>
      <w:r>
        <w:t xml:space="preserve"> </w:t>
      </w:r>
      <w:r w:rsidRPr="003A42BF">
        <w:t>Keller</w:t>
      </w:r>
      <w:r>
        <w:t>,</w:t>
      </w:r>
      <w:r>
        <w:rPr>
          <w:i/>
        </w:rPr>
        <w:br/>
      </w:r>
      <w:r w:rsidRPr="003A42BF">
        <w:tab/>
        <w:t>Paul</w:t>
      </w:r>
      <w:r>
        <w:t xml:space="preserve"> </w:t>
      </w:r>
      <w:r w:rsidRPr="003A42BF">
        <w:t>Lemmens</w:t>
      </w:r>
      <w:r>
        <w:t>,</w:t>
      </w:r>
      <w:r>
        <w:rPr>
          <w:i/>
        </w:rPr>
        <w:br/>
      </w:r>
      <w:r w:rsidRPr="003A42BF">
        <w:tab/>
        <w:t>Egidijus</w:t>
      </w:r>
      <w:r>
        <w:t xml:space="preserve"> </w:t>
      </w:r>
      <w:r w:rsidRPr="003A42BF">
        <w:t>Kūris</w:t>
      </w:r>
      <w:r>
        <w:t>,</w:t>
      </w:r>
      <w:r w:rsidRPr="003A42BF">
        <w:rPr>
          <w:i/>
        </w:rPr>
        <w:t xml:space="preserve"> juges,</w:t>
      </w:r>
      <w:r w:rsidR="0009234F" w:rsidRPr="00685582">
        <w:br/>
        <w:t xml:space="preserve">et de </w:t>
      </w:r>
      <w:r w:rsidR="00D81E5B">
        <w:t>Stanley</w:t>
      </w:r>
      <w:r w:rsidR="00D81E5B" w:rsidRPr="00685582">
        <w:t xml:space="preserve"> </w:t>
      </w:r>
      <w:r w:rsidR="00D81E5B">
        <w:t>Naismith</w:t>
      </w:r>
      <w:r w:rsidR="004E3393" w:rsidRPr="00685582">
        <w:t xml:space="preserve">, </w:t>
      </w:r>
      <w:r w:rsidR="00D81E5B" w:rsidRPr="00685582">
        <w:rPr>
          <w:i/>
        </w:rPr>
        <w:t>greffier</w:t>
      </w:r>
      <w:r w:rsidR="00D81E5B" w:rsidRPr="00685582">
        <w:rPr>
          <w:iCs/>
        </w:rPr>
        <w:t xml:space="preserve"> </w:t>
      </w:r>
      <w:r w:rsidR="00D81E5B" w:rsidRPr="00685582">
        <w:rPr>
          <w:i/>
          <w:iCs/>
        </w:rPr>
        <w:t>d</w:t>
      </w:r>
      <w:r w:rsidR="00D81E5B" w:rsidRPr="00685582">
        <w:rPr>
          <w:i/>
        </w:rPr>
        <w:t>e section</w:t>
      </w:r>
      <w:r w:rsidR="0009234F" w:rsidRPr="00685582">
        <w:rPr>
          <w:i/>
        </w:rPr>
        <w:t>,</w:t>
      </w:r>
    </w:p>
    <w:p w:rsidR="00EC6427" w:rsidRPr="00685582" w:rsidRDefault="00EC6427" w:rsidP="0068104D">
      <w:pPr>
        <w:pStyle w:val="ECHRPara"/>
      </w:pPr>
      <w:r w:rsidRPr="00685582">
        <w:t xml:space="preserve">Après en avoir délibéré en chambre du conseil le </w:t>
      </w:r>
      <w:r w:rsidR="003A42BF">
        <w:t>18 mars 2014</w:t>
      </w:r>
      <w:r w:rsidRPr="00685582">
        <w:t>,</w:t>
      </w:r>
    </w:p>
    <w:p w:rsidR="00EC6427" w:rsidRPr="00685582" w:rsidRDefault="00EC6427" w:rsidP="0068104D">
      <w:pPr>
        <w:pStyle w:val="ECHRPara"/>
      </w:pPr>
      <w:r w:rsidRPr="00685582">
        <w:t>Rend l</w:t>
      </w:r>
      <w:r w:rsidR="00AE1D81">
        <w:t>’</w:t>
      </w:r>
      <w:r w:rsidRPr="00685582">
        <w:t>arrêt que voici, adopté à cette date :</w:t>
      </w:r>
    </w:p>
    <w:p w:rsidR="00EC6427" w:rsidRPr="00685582" w:rsidRDefault="00EC6427" w:rsidP="00B33C50">
      <w:pPr>
        <w:pStyle w:val="ECHRTitle1"/>
      </w:pPr>
      <w:r w:rsidRPr="00685582">
        <w:t>PROCÉDURE</w:t>
      </w:r>
    </w:p>
    <w:p w:rsidR="00EC6427" w:rsidRPr="00685582" w:rsidRDefault="00F44484" w:rsidP="00E90227">
      <w:pPr>
        <w:pStyle w:val="ECHRPara"/>
      </w:pPr>
      <w:r>
        <w:fldChar w:fldCharType="begin"/>
      </w:r>
      <w:r>
        <w:instrText xml:space="preserve"> SEQ level0 \*arabic </w:instrText>
      </w:r>
      <w:r>
        <w:fldChar w:fldCharType="separate"/>
      </w:r>
      <w:r>
        <w:rPr>
          <w:noProof/>
        </w:rPr>
        <w:t>1</w:t>
      </w:r>
      <w:r>
        <w:rPr>
          <w:noProof/>
        </w:rPr>
        <w:fldChar w:fldCharType="end"/>
      </w:r>
      <w:r w:rsidR="00EC6427" w:rsidRPr="00685582">
        <w:t>.  </w:t>
      </w:r>
      <w:r w:rsidR="005C3192">
        <w:t>À</w:t>
      </w:r>
      <w:r w:rsidR="00EC6427" w:rsidRPr="00685582">
        <w:t xml:space="preserve"> l</w:t>
      </w:r>
      <w:r w:rsidR="00AE1D81">
        <w:t>’</w:t>
      </w:r>
      <w:r w:rsidR="00EC6427" w:rsidRPr="00685582">
        <w:t>origine de l</w:t>
      </w:r>
      <w:r w:rsidR="00AE1D81">
        <w:t>’</w:t>
      </w:r>
      <w:r w:rsidR="00EC6427" w:rsidRPr="00685582">
        <w:t xml:space="preserve">affaire </w:t>
      </w:r>
      <w:r w:rsidR="00D81E5B" w:rsidRPr="00685582">
        <w:t>se trouve une requête (n</w:t>
      </w:r>
      <w:r w:rsidR="00143C2E" w:rsidRPr="00143C2E">
        <w:rPr>
          <w:vertAlign w:val="superscript"/>
        </w:rPr>
        <w:t>o</w:t>
      </w:r>
      <w:r w:rsidR="00E6035D">
        <w:t> </w:t>
      </w:r>
      <w:r w:rsidR="00D81E5B">
        <w:t>17120/09</w:t>
      </w:r>
      <w:r w:rsidR="00D81E5B" w:rsidRPr="00685582">
        <w:t>) dirigée</w:t>
      </w:r>
      <w:r w:rsidR="00EC6427" w:rsidRPr="00685582">
        <w:t xml:space="preserve"> contre </w:t>
      </w:r>
      <w:r w:rsidR="00D81E5B">
        <w:t>la République italienne</w:t>
      </w:r>
      <w:r w:rsidR="00EC6427" w:rsidRPr="00685582">
        <w:t xml:space="preserve"> et dont </w:t>
      </w:r>
      <w:r w:rsidR="00D81E5B" w:rsidRPr="00685582">
        <w:t xml:space="preserve">un ressortissant </w:t>
      </w:r>
      <w:r w:rsidR="00D81E5B" w:rsidRPr="00463A7D">
        <w:t xml:space="preserve">de cet </w:t>
      </w:r>
      <w:r w:rsidR="005C3192">
        <w:t>É</w:t>
      </w:r>
      <w:r w:rsidR="00D81E5B" w:rsidRPr="00463A7D">
        <w:t>tat</w:t>
      </w:r>
      <w:r w:rsidR="00D81E5B" w:rsidRPr="00685582">
        <w:t xml:space="preserve">, </w:t>
      </w:r>
      <w:r w:rsidR="00D81E5B">
        <w:t>M. Bouraoui</w:t>
      </w:r>
      <w:r w:rsidR="00D81E5B" w:rsidRPr="00685582">
        <w:t xml:space="preserve"> </w:t>
      </w:r>
      <w:r w:rsidR="00D81E5B">
        <w:t>Dhahbi</w:t>
      </w:r>
      <w:r w:rsidR="00D81E5B" w:rsidRPr="00685582">
        <w:t xml:space="preserve"> (« le requérant »), a saisi la Cour le </w:t>
      </w:r>
      <w:r w:rsidR="00D81E5B">
        <w:t>28 mars 2009</w:t>
      </w:r>
      <w:r w:rsidR="00EC6427" w:rsidRPr="00685582">
        <w:t xml:space="preserve"> en vertu de </w:t>
      </w:r>
      <w:r w:rsidR="00D81E5B" w:rsidRPr="00685582">
        <w:t>l</w:t>
      </w:r>
      <w:r w:rsidR="00AE1D81">
        <w:t>’</w:t>
      </w:r>
      <w:r w:rsidR="00D81E5B" w:rsidRPr="00685582">
        <w:t>article 34</w:t>
      </w:r>
      <w:r w:rsidR="00EC6427" w:rsidRPr="00685582">
        <w:t xml:space="preserve"> de la Convention de sauvegarde des </w:t>
      </w:r>
      <w:r w:rsidR="00445E54" w:rsidRPr="00685582">
        <w:t>d</w:t>
      </w:r>
      <w:r w:rsidR="00EC6427" w:rsidRPr="00685582">
        <w:t>roits de l</w:t>
      </w:r>
      <w:r w:rsidR="00AE1D81">
        <w:t>’</w:t>
      </w:r>
      <w:r w:rsidR="00445E54" w:rsidRPr="00685582">
        <w:t>h</w:t>
      </w:r>
      <w:r w:rsidR="00DC1AF9" w:rsidRPr="00685582">
        <w:t>omme et des l</w:t>
      </w:r>
      <w:r w:rsidR="00EC6427" w:rsidRPr="00685582">
        <w:t>ibertés fondamentales (« la Convention »).</w:t>
      </w:r>
    </w:p>
    <w:p w:rsidR="00A95CCF" w:rsidRDefault="00D81E5B" w:rsidP="004653D9">
      <w:pPr>
        <w:pStyle w:val="ECHRPara"/>
      </w:pPr>
      <w:r>
        <w:rPr>
          <w:lang w:val="en-GB"/>
        </w:rPr>
        <w:fldChar w:fldCharType="begin"/>
      </w:r>
      <w:r w:rsidRPr="00D81E5B">
        <w:instrText xml:space="preserve"> SEQ level0 \*arabic </w:instrText>
      </w:r>
      <w:r>
        <w:rPr>
          <w:lang w:val="en-GB"/>
        </w:rPr>
        <w:fldChar w:fldCharType="separate"/>
      </w:r>
      <w:r w:rsidR="00F44484">
        <w:rPr>
          <w:noProof/>
        </w:rPr>
        <w:t>2</w:t>
      </w:r>
      <w:r>
        <w:rPr>
          <w:lang w:val="en-GB"/>
        </w:rPr>
        <w:fldChar w:fldCharType="end"/>
      </w:r>
      <w:r w:rsidR="00EC6427" w:rsidRPr="00D81E5B">
        <w:t>.  </w:t>
      </w:r>
      <w:r w:rsidRPr="00D81E5B">
        <w:t>Le requérant a été représenté par M</w:t>
      </w:r>
      <w:r w:rsidRPr="00D81E5B">
        <w:rPr>
          <w:vertAlign w:val="superscript"/>
        </w:rPr>
        <w:t>e</w:t>
      </w:r>
      <w:r w:rsidRPr="00D81E5B">
        <w:t> V. Angiolini, avocat</w:t>
      </w:r>
      <w:r w:rsidRPr="008B6085">
        <w:t xml:space="preserve"> à </w:t>
      </w:r>
      <w:r>
        <w:t>Milan</w:t>
      </w:r>
      <w:r w:rsidRPr="008B6085">
        <w:t xml:space="preserve">. </w:t>
      </w:r>
      <w:r w:rsidR="00EC6427" w:rsidRPr="008B6085">
        <w:t xml:space="preserve">Le gouvernement </w:t>
      </w:r>
      <w:r>
        <w:t>italien</w:t>
      </w:r>
      <w:r w:rsidR="00EC6427" w:rsidRPr="008B6085">
        <w:t xml:space="preserve"> (« le Gouvernement ») </w:t>
      </w:r>
      <w:r w:rsidR="00D603FB" w:rsidRPr="008B6085">
        <w:t>a été</w:t>
      </w:r>
      <w:r w:rsidR="00EC6427" w:rsidRPr="008B6085">
        <w:t xml:space="preserve"> représenté par son agent, </w:t>
      </w:r>
      <w:r>
        <w:t>M</w:t>
      </w:r>
      <w:r w:rsidRPr="008E0E8F">
        <w:rPr>
          <w:vertAlign w:val="superscript"/>
        </w:rPr>
        <w:t>me</w:t>
      </w:r>
      <w:r>
        <w:t xml:space="preserve"> E. Spatafora</w:t>
      </w:r>
      <w:r w:rsidRPr="00764BB5">
        <w:t xml:space="preserve">, </w:t>
      </w:r>
      <w:r>
        <w:t>et par son coagent, M</w:t>
      </w:r>
      <w:r w:rsidRPr="008E0E8F">
        <w:rPr>
          <w:vertAlign w:val="superscript"/>
        </w:rPr>
        <w:t>me</w:t>
      </w:r>
      <w:r>
        <w:t xml:space="preserve"> P. Accardo</w:t>
      </w:r>
      <w:r w:rsidR="00EC6427" w:rsidRPr="008B6085">
        <w:t>.</w:t>
      </w:r>
    </w:p>
    <w:p w:rsidR="00D81E5B" w:rsidRDefault="00F44484" w:rsidP="00D81E5B">
      <w:pPr>
        <w:pStyle w:val="ECHRPara"/>
      </w:pPr>
      <w:r>
        <w:fldChar w:fldCharType="begin"/>
      </w:r>
      <w:r>
        <w:instrText xml:space="preserve"> SEQ level0 \*arabic </w:instrText>
      </w:r>
      <w:r>
        <w:fldChar w:fldCharType="separate"/>
      </w:r>
      <w:r>
        <w:rPr>
          <w:noProof/>
        </w:rPr>
        <w:t>3</w:t>
      </w:r>
      <w:r>
        <w:rPr>
          <w:noProof/>
        </w:rPr>
        <w:fldChar w:fldCharType="end"/>
      </w:r>
      <w:r w:rsidR="00D81E5B" w:rsidRPr="00685582">
        <w:t xml:space="preserve">.  Le requérant allègue </w:t>
      </w:r>
      <w:r w:rsidR="00E907DE">
        <w:t>avoir été victime d</w:t>
      </w:r>
      <w:r w:rsidR="00AE1D81">
        <w:t>’</w:t>
      </w:r>
      <w:r w:rsidR="00E907DE">
        <w:t xml:space="preserve">une discrimination fondée sur </w:t>
      </w:r>
      <w:r w:rsidR="009F28A8">
        <w:t xml:space="preserve">la </w:t>
      </w:r>
      <w:r w:rsidR="00E907DE">
        <w:t>nationalité</w:t>
      </w:r>
      <w:r w:rsidR="009F28A8">
        <w:t xml:space="preserve"> qui était la sienne à l</w:t>
      </w:r>
      <w:r w:rsidR="00AE1D81">
        <w:t>’</w:t>
      </w:r>
      <w:r w:rsidR="009F28A8">
        <w:t>époque des faits, et se plaint par ailleurs que la Cour de cassation a ignoré sa demande de renvoi d</w:t>
      </w:r>
      <w:r w:rsidR="00AE1D81">
        <w:t>’</w:t>
      </w:r>
      <w:r w:rsidR="009F28A8">
        <w:t xml:space="preserve">une question préjudicielle à la </w:t>
      </w:r>
      <w:r w:rsidR="009F28A8" w:rsidRPr="00A95B8D">
        <w:rPr>
          <w:rStyle w:val="sb8d990e2"/>
        </w:rPr>
        <w:t>C</w:t>
      </w:r>
      <w:r w:rsidR="009F28A8">
        <w:rPr>
          <w:rStyle w:val="sb8d990e2"/>
        </w:rPr>
        <w:t>our de justice de l</w:t>
      </w:r>
      <w:r w:rsidR="00AE1D81">
        <w:rPr>
          <w:rStyle w:val="sb8d990e2"/>
        </w:rPr>
        <w:t>’</w:t>
      </w:r>
      <w:r w:rsidR="009F28A8">
        <w:rPr>
          <w:rStyle w:val="sb8d990e2"/>
        </w:rPr>
        <w:t xml:space="preserve">Union européenne </w:t>
      </w:r>
      <w:r w:rsidR="00CD34E9">
        <w:rPr>
          <w:rStyle w:val="sb8d990e2"/>
        </w:rPr>
        <w:t>dans la procédure y afférente.</w:t>
      </w:r>
    </w:p>
    <w:p w:rsidR="00C27BF2" w:rsidRPr="00685582" w:rsidRDefault="00D81E5B" w:rsidP="00D81E5B">
      <w:pPr>
        <w:pStyle w:val="ECHRPara"/>
        <w:rPr>
          <w:szCs w:val="24"/>
          <w:lang w:eastAsia="en-GB"/>
        </w:rPr>
      </w:pPr>
      <w:r>
        <w:fldChar w:fldCharType="begin"/>
      </w:r>
      <w:r w:rsidRPr="00D81E5B">
        <w:instrText xml:space="preserve"> SEQ level0 \*arabic </w:instrText>
      </w:r>
      <w:r>
        <w:fldChar w:fldCharType="separate"/>
      </w:r>
      <w:r w:rsidR="00F44484">
        <w:rPr>
          <w:noProof/>
        </w:rPr>
        <w:t>4</w:t>
      </w:r>
      <w:r>
        <w:fldChar w:fldCharType="end"/>
      </w:r>
      <w:r w:rsidR="00FC739E" w:rsidRPr="00D81E5B">
        <w:t xml:space="preserve">.  Le </w:t>
      </w:r>
      <w:r w:rsidRPr="00D81E5B">
        <w:t>11 juin 2013</w:t>
      </w:r>
      <w:r w:rsidR="00FC739E" w:rsidRPr="00D81E5B">
        <w:t xml:space="preserve">, </w:t>
      </w:r>
      <w:r w:rsidRPr="00D81E5B">
        <w:t>la requête a</w:t>
      </w:r>
      <w:r w:rsidR="00FC739E" w:rsidRPr="00D81E5B">
        <w:t xml:space="preserve"> été </w:t>
      </w:r>
      <w:r w:rsidRPr="00D81E5B">
        <w:t>communiquée</w:t>
      </w:r>
      <w:r w:rsidR="00FC739E" w:rsidRPr="00D81E5B">
        <w:t xml:space="preserve"> au Gouvernement.</w:t>
      </w:r>
    </w:p>
    <w:p w:rsidR="0033735E" w:rsidRDefault="00EC6427" w:rsidP="00B33C50">
      <w:pPr>
        <w:pStyle w:val="ECHRTitle1"/>
        <w:tabs>
          <w:tab w:val="left" w:pos="5387"/>
        </w:tabs>
      </w:pPr>
      <w:r w:rsidRPr="00685582">
        <w:t>EN FAIT</w:t>
      </w:r>
    </w:p>
    <w:p w:rsidR="00D31210" w:rsidRPr="00685582" w:rsidRDefault="0000732D" w:rsidP="00B33C50">
      <w:pPr>
        <w:pStyle w:val="ECHRHeading1"/>
      </w:pPr>
      <w:r w:rsidRPr="00685582">
        <w:t>I.  LES CIRCONSTANCES DE L</w:t>
      </w:r>
      <w:r w:rsidR="00AE1D81">
        <w:t>’</w:t>
      </w:r>
      <w:r w:rsidRPr="00685582">
        <w:t>ESPÈC</w:t>
      </w:r>
      <w:r w:rsidR="00D31210" w:rsidRPr="00685582">
        <w:t>E</w:t>
      </w:r>
    </w:p>
    <w:p w:rsidR="00EC6427" w:rsidRPr="00685582" w:rsidRDefault="00F44484" w:rsidP="007E34C8">
      <w:pPr>
        <w:pStyle w:val="ECHRPara"/>
      </w:pPr>
      <w:r>
        <w:fldChar w:fldCharType="begin"/>
      </w:r>
      <w:r>
        <w:instrText xml:space="preserve"> SEQ level0 \*arabic </w:instrText>
      </w:r>
      <w:r>
        <w:fldChar w:fldCharType="separate"/>
      </w:r>
      <w:r>
        <w:rPr>
          <w:noProof/>
        </w:rPr>
        <w:t>5</w:t>
      </w:r>
      <w:r>
        <w:rPr>
          <w:noProof/>
        </w:rPr>
        <w:fldChar w:fldCharType="end"/>
      </w:r>
      <w:r w:rsidR="00EC6427" w:rsidRPr="00685582">
        <w:t>.  </w:t>
      </w:r>
      <w:r w:rsidR="00D81E5B" w:rsidRPr="00685582">
        <w:t xml:space="preserve">Le requérant est né en </w:t>
      </w:r>
      <w:r w:rsidR="00D81E5B">
        <w:t>1960</w:t>
      </w:r>
      <w:r w:rsidR="00D81E5B" w:rsidRPr="00685582">
        <w:t xml:space="preserve"> et réside à </w:t>
      </w:r>
      <w:r w:rsidR="00D81E5B">
        <w:t>Marsala</w:t>
      </w:r>
      <w:r w:rsidR="000A72EE">
        <w:t xml:space="preserve"> (Trapani)</w:t>
      </w:r>
      <w:r w:rsidR="000F08D4" w:rsidRPr="00685582">
        <w:t>.</w:t>
      </w:r>
    </w:p>
    <w:bookmarkStart w:id="1" w:name="Inps"/>
    <w:p w:rsidR="00A95CCF" w:rsidRDefault="00D142FB" w:rsidP="00D81E5B">
      <w:pPr>
        <w:pStyle w:val="ECHRPara"/>
      </w:pPr>
      <w:r>
        <w:fldChar w:fldCharType="begin"/>
      </w:r>
      <w:r>
        <w:instrText xml:space="preserve"> SEQ level0 \*arabic </w:instrText>
      </w:r>
      <w:r>
        <w:fldChar w:fldCharType="separate"/>
      </w:r>
      <w:r w:rsidR="00F44484">
        <w:rPr>
          <w:noProof/>
        </w:rPr>
        <w:t>6</w:t>
      </w:r>
      <w:r>
        <w:rPr>
          <w:noProof/>
        </w:rPr>
        <w:fldChar w:fldCharType="end"/>
      </w:r>
      <w:bookmarkEnd w:id="1"/>
      <w:r w:rsidR="00EC6427" w:rsidRPr="00685582">
        <w:t>.  </w:t>
      </w:r>
      <w:r w:rsidR="00D81E5B">
        <w:t>Le requérant, qui a ensuite acquis la nationalité italienne, était à l</w:t>
      </w:r>
      <w:r w:rsidR="00AE1D81">
        <w:t>’</w:t>
      </w:r>
      <w:r w:rsidR="00D81E5B">
        <w:t>époque des faits un ressortissant tunisien qui s</w:t>
      </w:r>
      <w:r w:rsidR="00AE1D81">
        <w:t>’</w:t>
      </w:r>
      <w:r w:rsidR="00D81E5B">
        <w:t>était rendu en Italie sur la base d</w:t>
      </w:r>
      <w:r w:rsidR="00AE1D81">
        <w:t>’</w:t>
      </w:r>
      <w:r w:rsidR="00D81E5B">
        <w:t>un permis de séjour et</w:t>
      </w:r>
      <w:r w:rsidR="00F07984">
        <w:t xml:space="preserve"> de</w:t>
      </w:r>
      <w:r w:rsidR="00D81E5B">
        <w:t xml:space="preserve"> travail régulier. Il fut embauché par la société A. et assuré auprès de l</w:t>
      </w:r>
      <w:r w:rsidR="00AE1D81">
        <w:t>’</w:t>
      </w:r>
      <w:r w:rsidR="00D81E5B">
        <w:t xml:space="preserve">Institut </w:t>
      </w:r>
      <w:r w:rsidR="007420D9">
        <w:t>n</w:t>
      </w:r>
      <w:r w:rsidR="00D81E5B">
        <w:t xml:space="preserve">ational </w:t>
      </w:r>
      <w:r w:rsidR="007420D9">
        <w:t xml:space="preserve">de </w:t>
      </w:r>
      <w:r w:rsidR="00D81E5B">
        <w:t xml:space="preserve">la </w:t>
      </w:r>
      <w:r w:rsidR="00F95192">
        <w:t>s</w:t>
      </w:r>
      <w:r w:rsidR="00D81E5B">
        <w:t xml:space="preserve">écurité </w:t>
      </w:r>
      <w:r w:rsidR="00F95192">
        <w:t>s</w:t>
      </w:r>
      <w:r w:rsidR="00D81E5B">
        <w:t>ociale (</w:t>
      </w:r>
      <w:r w:rsidR="00D81E5B">
        <w:rPr>
          <w:i/>
        </w:rPr>
        <w:t xml:space="preserve">Istituto Nazionale della Previdenza Sociale </w:t>
      </w:r>
      <w:r w:rsidR="00D81E5B">
        <w:t xml:space="preserve">–INPS). Sa famille </w:t>
      </w:r>
      <w:r w:rsidR="00F07984">
        <w:t>comprenait</w:t>
      </w:r>
      <w:r w:rsidR="00D81E5B">
        <w:t xml:space="preserve"> son épouse et leurs quatre enfants mineurs. Ses revenus pour l</w:t>
      </w:r>
      <w:r w:rsidR="00AE1D81">
        <w:t>’</w:t>
      </w:r>
      <w:r w:rsidR="00D81E5B">
        <w:t>année 1999 s</w:t>
      </w:r>
      <w:r w:rsidR="00AE1D81">
        <w:t>’</w:t>
      </w:r>
      <w:r w:rsidR="00D81E5B">
        <w:t>élevaient à 30 655 000 lires italiennes (ITL – environ 15 832 euros (EUR)).</w:t>
      </w:r>
    </w:p>
    <w:p w:rsidR="00A95CCF" w:rsidRDefault="00F44484" w:rsidP="00D81E5B">
      <w:pPr>
        <w:pStyle w:val="ECHRPara"/>
      </w:pPr>
      <w:r>
        <w:fldChar w:fldCharType="begin"/>
      </w:r>
      <w:r>
        <w:instrText xml:space="preserve"> SEQ level0 \*arabic </w:instrText>
      </w:r>
      <w:r>
        <w:fldChar w:fldCharType="separate"/>
      </w:r>
      <w:r>
        <w:rPr>
          <w:noProof/>
        </w:rPr>
        <w:t>7</w:t>
      </w:r>
      <w:r>
        <w:rPr>
          <w:noProof/>
        </w:rPr>
        <w:fldChar w:fldCharType="end"/>
      </w:r>
      <w:r w:rsidR="00D81E5B">
        <w:t xml:space="preserve">.  Le 24 mai 2001, le requérant introduisit un recours devant le tribunal de Marsala, </w:t>
      </w:r>
      <w:r w:rsidR="00FE49FA">
        <w:t>appelé à statuer comme</w:t>
      </w:r>
      <w:r w:rsidR="00D81E5B">
        <w:t xml:space="preserve"> juge du travail, afin d</w:t>
      </w:r>
      <w:r w:rsidR="00AE1D81">
        <w:t>’</w:t>
      </w:r>
      <w:r w:rsidR="00D81E5B">
        <w:t>obtenir le versement de l</w:t>
      </w:r>
      <w:r w:rsidR="00AE1D81">
        <w:t>’</w:t>
      </w:r>
      <w:r w:rsidR="00D81E5B">
        <w:t xml:space="preserve">allocation </w:t>
      </w:r>
      <w:r w:rsidR="0056464A">
        <w:t xml:space="preserve">de foyer </w:t>
      </w:r>
      <w:r w:rsidR="00D81E5B">
        <w:t>familial (</w:t>
      </w:r>
      <w:r w:rsidR="00D81E5B">
        <w:rPr>
          <w:i/>
        </w:rPr>
        <w:t>assegno per nucleo familiare</w:t>
      </w:r>
      <w:r w:rsidR="00D81E5B">
        <w:t>) prévue par l</w:t>
      </w:r>
      <w:r w:rsidR="00AE1D81">
        <w:t>’</w:t>
      </w:r>
      <w:r w:rsidR="00D81E5B">
        <w:t>article 65 de la loi n</w:t>
      </w:r>
      <w:r w:rsidR="00143C2E" w:rsidRPr="00143C2E">
        <w:rPr>
          <w:vertAlign w:val="superscript"/>
        </w:rPr>
        <w:t>o</w:t>
      </w:r>
      <w:r w:rsidR="00E6035D">
        <w:t> </w:t>
      </w:r>
      <w:r w:rsidR="00D81E5B">
        <w:t>448 de 1998. Aux termes de cette disposition, l</w:t>
      </w:r>
      <w:r w:rsidR="00AE1D81">
        <w:t>’</w:t>
      </w:r>
      <w:r w:rsidR="00D81E5B">
        <w:t>allocation en question était octroyée par l</w:t>
      </w:r>
      <w:r w:rsidR="00AE1D81">
        <w:t>’</w:t>
      </w:r>
      <w:r w:rsidR="00D81E5B">
        <w:t xml:space="preserve">INPS aux familles composées de ressortissants italiens résidant en Italie, avec au moins trois enfants mineurs, lorsque leur revenu annuel était inférieur aux </w:t>
      </w:r>
      <w:r w:rsidR="007431D4">
        <w:t xml:space="preserve">montants </w:t>
      </w:r>
      <w:r w:rsidR="00D81E5B">
        <w:t>indiqués dans le tableau annexé au décret législatif n</w:t>
      </w:r>
      <w:r w:rsidR="00143C2E" w:rsidRPr="00143C2E">
        <w:rPr>
          <w:vertAlign w:val="superscript"/>
        </w:rPr>
        <w:t>o</w:t>
      </w:r>
      <w:r w:rsidR="00E6035D">
        <w:t> </w:t>
      </w:r>
      <w:r w:rsidR="00D81E5B">
        <w:t>109 du 31 mars 1998 (</w:t>
      </w:r>
      <w:r w:rsidR="007431D4">
        <w:t>en l</w:t>
      </w:r>
      <w:r w:rsidR="00AE1D81">
        <w:t>’</w:t>
      </w:r>
      <w:r w:rsidR="007431D4">
        <w:t>occurrence</w:t>
      </w:r>
      <w:r w:rsidR="00D81E5B">
        <w:t xml:space="preserve"> 36</w:t>
      </w:r>
      <w:r w:rsidR="00F07984">
        <w:t xml:space="preserve"> millions d</w:t>
      </w:r>
      <w:r w:rsidR="00AE1D81">
        <w:t>’</w:t>
      </w:r>
      <w:r w:rsidR="00D81E5B">
        <w:t>ITL – environ 18 592</w:t>
      </w:r>
      <w:r w:rsidR="00E6035D">
        <w:t> </w:t>
      </w:r>
      <w:r w:rsidR="00D81E5B">
        <w:t>EUR – pour les familles composées de cinq personnes).</w:t>
      </w:r>
    </w:p>
    <w:p w:rsidR="00D81E5B" w:rsidRDefault="00F44484" w:rsidP="00D81E5B">
      <w:pPr>
        <w:pStyle w:val="ECHRPara"/>
      </w:pPr>
      <w:r>
        <w:fldChar w:fldCharType="begin"/>
      </w:r>
      <w:r>
        <w:instrText xml:space="preserve"> SEQ level0 \*arabic </w:instrText>
      </w:r>
      <w:r>
        <w:fldChar w:fldCharType="separate"/>
      </w:r>
      <w:r>
        <w:rPr>
          <w:noProof/>
        </w:rPr>
        <w:t>8</w:t>
      </w:r>
      <w:r>
        <w:rPr>
          <w:noProof/>
        </w:rPr>
        <w:fldChar w:fldCharType="end"/>
      </w:r>
      <w:r w:rsidR="00D81E5B">
        <w:t>.  Le requérant considérait que même s</w:t>
      </w:r>
      <w:r w:rsidR="00AE1D81">
        <w:t>’</w:t>
      </w:r>
      <w:r w:rsidR="00D81E5B">
        <w:t>il n</w:t>
      </w:r>
      <w:r w:rsidR="00AE1D81">
        <w:t>’</w:t>
      </w:r>
      <w:r w:rsidR="00D81E5B">
        <w:t xml:space="preserve">avait pas la nationalité italienne, comme </w:t>
      </w:r>
      <w:r w:rsidR="000E5878">
        <w:t>l</w:t>
      </w:r>
      <w:r w:rsidR="00AE1D81">
        <w:t>’</w:t>
      </w:r>
      <w:r w:rsidR="000E5878">
        <w:t>exigeait</w:t>
      </w:r>
      <w:r w:rsidR="00D81E5B">
        <w:t xml:space="preserve"> la loi n</w:t>
      </w:r>
      <w:r w:rsidR="00143C2E" w:rsidRPr="00143C2E">
        <w:rPr>
          <w:vertAlign w:val="superscript"/>
        </w:rPr>
        <w:t>o</w:t>
      </w:r>
      <w:r w:rsidR="00E6035D">
        <w:t> </w:t>
      </w:r>
      <w:r w:rsidR="00D81E5B">
        <w:t>448 de 1998, l</w:t>
      </w:r>
      <w:r w:rsidR="00AE1D81">
        <w:t>’</w:t>
      </w:r>
      <w:r w:rsidR="00D81E5B">
        <w:t xml:space="preserve">allocation lui était due en </w:t>
      </w:r>
      <w:r w:rsidR="00DE73BC">
        <w:t xml:space="preserve">vertu </w:t>
      </w:r>
      <w:r w:rsidR="00D81E5B">
        <w:t>de l</w:t>
      </w:r>
      <w:r w:rsidR="00AE1D81">
        <w:t>’</w:t>
      </w:r>
      <w:r w:rsidR="00D81E5B">
        <w:t xml:space="preserve">accord </w:t>
      </w:r>
      <w:r w:rsidR="00FE49FA">
        <w:t>d</w:t>
      </w:r>
      <w:r w:rsidR="00AE1D81">
        <w:t>’</w:t>
      </w:r>
      <w:r w:rsidR="00FE49FA">
        <w:t xml:space="preserve">association </w:t>
      </w:r>
      <w:r w:rsidR="00D81E5B">
        <w:t>entre l</w:t>
      </w:r>
      <w:r w:rsidR="00AE1D81">
        <w:t>’</w:t>
      </w:r>
      <w:r w:rsidR="00D81E5B">
        <w:t>Union européenne et la Tunisie</w:t>
      </w:r>
      <w:r w:rsidR="00645BD9">
        <w:t xml:space="preserve"> –</w:t>
      </w:r>
      <w:r w:rsidR="00D81E5B">
        <w:t xml:space="preserve"> </w:t>
      </w:r>
      <w:r w:rsidR="00FE49FA">
        <w:t>dit</w:t>
      </w:r>
      <w:r w:rsidR="00D81E5B">
        <w:t xml:space="preserve"> « Accord </w:t>
      </w:r>
      <w:r w:rsidR="00FE49FA">
        <w:t>e</w:t>
      </w:r>
      <w:r w:rsidR="00D81E5B">
        <w:t>uro-méditerranéen »</w:t>
      </w:r>
      <w:r w:rsidR="00645BD9">
        <w:t xml:space="preserve"> –,</w:t>
      </w:r>
      <w:r w:rsidR="00645BD9" w:rsidRPr="005629EA">
        <w:rPr>
          <w:lang w:eastAsia="en-US"/>
        </w:rPr>
        <w:t xml:space="preserve"> </w:t>
      </w:r>
      <w:r w:rsidR="00645BD9" w:rsidRPr="005629EA">
        <w:t>ratifié par l</w:t>
      </w:r>
      <w:r w:rsidR="00AE1D81">
        <w:t>’</w:t>
      </w:r>
      <w:r w:rsidR="00645BD9" w:rsidRPr="005629EA">
        <w:t>Italie (loi n</w:t>
      </w:r>
      <w:r w:rsidR="00143C2E" w:rsidRPr="00143C2E">
        <w:rPr>
          <w:vertAlign w:val="superscript"/>
        </w:rPr>
        <w:t>o</w:t>
      </w:r>
      <w:r w:rsidR="00E6035D">
        <w:t> </w:t>
      </w:r>
      <w:r w:rsidR="00645BD9" w:rsidRPr="005629EA">
        <w:t>35 du 3</w:t>
      </w:r>
      <w:r w:rsidR="008D4ECE">
        <w:t> </w:t>
      </w:r>
      <w:r w:rsidR="00645BD9" w:rsidRPr="005629EA">
        <w:t>février 1997)</w:t>
      </w:r>
      <w:r w:rsidR="005C3192">
        <w:t>.</w:t>
      </w:r>
      <w:r w:rsidR="00D81E5B">
        <w:t xml:space="preserve"> </w:t>
      </w:r>
      <w:r w:rsidR="005C3192">
        <w:t>L</w:t>
      </w:r>
      <w:r w:rsidR="00AE1D81">
        <w:t>’</w:t>
      </w:r>
      <w:r w:rsidR="00D81E5B">
        <w:t>article 65 de ce texte se lit comme suit :</w:t>
      </w:r>
    </w:p>
    <w:p w:rsidR="00A95CCF" w:rsidRDefault="00D81E5B" w:rsidP="00D81E5B">
      <w:pPr>
        <w:pStyle w:val="ECHRParaQuote"/>
        <w:rPr>
          <w:rFonts w:eastAsia="Batang"/>
          <w:lang w:eastAsia="en-US"/>
        </w:rPr>
      </w:pPr>
      <w:r>
        <w:rPr>
          <w:rFonts w:eastAsia="Batang"/>
          <w:lang w:eastAsia="en-US"/>
        </w:rPr>
        <w:t>« </w:t>
      </w:r>
      <w:r w:rsidRPr="000E7150">
        <w:rPr>
          <w:rFonts w:eastAsia="Batang"/>
          <w:lang w:eastAsia="en-US"/>
        </w:rPr>
        <w:t>1. Sous réserve des dispositions des paragraphes suivants, les travailleurs de nationalité tunisienne et les</w:t>
      </w:r>
      <w:r>
        <w:rPr>
          <w:rFonts w:eastAsia="Batang"/>
          <w:lang w:eastAsia="en-US"/>
        </w:rPr>
        <w:t xml:space="preserve"> </w:t>
      </w:r>
      <w:r w:rsidRPr="000E7150">
        <w:rPr>
          <w:rFonts w:eastAsia="Batang"/>
          <w:lang w:eastAsia="en-US"/>
        </w:rPr>
        <w:t>membres de leur famille résidant avec eux bénéficient, dans le do</w:t>
      </w:r>
      <w:r>
        <w:rPr>
          <w:rFonts w:eastAsia="Batang"/>
          <w:lang w:eastAsia="en-US"/>
        </w:rPr>
        <w:t>maine de la sécurité sociale, d</w:t>
      </w:r>
      <w:r w:rsidR="00AE1D81">
        <w:rPr>
          <w:rFonts w:eastAsia="Batang"/>
          <w:lang w:eastAsia="en-US"/>
        </w:rPr>
        <w:t>’</w:t>
      </w:r>
      <w:r w:rsidRPr="000E7150">
        <w:rPr>
          <w:rFonts w:eastAsia="Batang"/>
          <w:lang w:eastAsia="en-US"/>
        </w:rPr>
        <w:t>un</w:t>
      </w:r>
      <w:r>
        <w:rPr>
          <w:rFonts w:eastAsia="Batang"/>
          <w:lang w:eastAsia="en-US"/>
        </w:rPr>
        <w:t xml:space="preserve"> régime caractérisé par l</w:t>
      </w:r>
      <w:r w:rsidR="00AE1D81">
        <w:rPr>
          <w:rFonts w:eastAsia="Batang"/>
          <w:lang w:eastAsia="en-US"/>
        </w:rPr>
        <w:t>’</w:t>
      </w:r>
      <w:r w:rsidRPr="000E7150">
        <w:rPr>
          <w:rFonts w:eastAsia="Batang"/>
          <w:lang w:eastAsia="en-US"/>
        </w:rPr>
        <w:t>absence de toute discrimination fondée sur la nationalité par rapport aux propres</w:t>
      </w:r>
      <w:r>
        <w:rPr>
          <w:rFonts w:eastAsia="Batang"/>
          <w:lang w:eastAsia="en-US"/>
        </w:rPr>
        <w:t xml:space="preserve"> </w:t>
      </w:r>
      <w:r w:rsidRPr="000E7150">
        <w:rPr>
          <w:rFonts w:eastAsia="Batang"/>
          <w:lang w:eastAsia="en-US"/>
        </w:rPr>
        <w:t>ressortissants des États membres dans lesquels ils sont occupés.</w:t>
      </w:r>
    </w:p>
    <w:p w:rsidR="00D81E5B" w:rsidRPr="000E7150" w:rsidRDefault="00D81E5B" w:rsidP="00D81E5B">
      <w:pPr>
        <w:pStyle w:val="ECHRParaQuote"/>
        <w:rPr>
          <w:rFonts w:eastAsia="Batang"/>
          <w:lang w:eastAsia="en-US"/>
        </w:rPr>
      </w:pPr>
      <w:r w:rsidRPr="000E7150">
        <w:rPr>
          <w:rFonts w:eastAsia="Batang"/>
          <w:lang w:eastAsia="en-US"/>
        </w:rPr>
        <w:t>La notion de «</w:t>
      </w:r>
      <w:r>
        <w:rPr>
          <w:rFonts w:eastAsia="Batang"/>
          <w:lang w:eastAsia="en-US"/>
        </w:rPr>
        <w:t> </w:t>
      </w:r>
      <w:r w:rsidRPr="000E7150">
        <w:rPr>
          <w:rFonts w:eastAsia="Batang"/>
          <w:lang w:eastAsia="en-US"/>
        </w:rPr>
        <w:t>sécurité sociale</w:t>
      </w:r>
      <w:r>
        <w:rPr>
          <w:rFonts w:eastAsia="Batang"/>
          <w:lang w:eastAsia="en-US"/>
        </w:rPr>
        <w:t> </w:t>
      </w:r>
      <w:r w:rsidRPr="000E7150">
        <w:rPr>
          <w:rFonts w:eastAsia="Batang"/>
          <w:lang w:eastAsia="en-US"/>
        </w:rPr>
        <w:t>»</w:t>
      </w:r>
      <w:r w:rsidR="00F95192">
        <w:rPr>
          <w:rStyle w:val="FootnoteReference"/>
          <w:rFonts w:eastAsia="Batang"/>
          <w:lang w:eastAsia="en-US"/>
        </w:rPr>
        <w:footnoteReference w:id="1"/>
      </w:r>
      <w:r w:rsidRPr="000E7150">
        <w:rPr>
          <w:rFonts w:eastAsia="Batang"/>
          <w:lang w:eastAsia="en-US"/>
        </w:rPr>
        <w:t xml:space="preserve"> couvre les branches de sécurité sociale qui concernent les prestations de</w:t>
      </w:r>
      <w:r>
        <w:rPr>
          <w:rFonts w:eastAsia="Batang"/>
          <w:lang w:eastAsia="en-US"/>
        </w:rPr>
        <w:t xml:space="preserve"> </w:t>
      </w:r>
      <w:r w:rsidRPr="000E7150">
        <w:rPr>
          <w:rFonts w:eastAsia="Batang"/>
          <w:lang w:eastAsia="en-US"/>
        </w:rPr>
        <w:t xml:space="preserve">maladie et </w:t>
      </w:r>
      <w:r>
        <w:rPr>
          <w:rFonts w:eastAsia="Batang"/>
          <w:lang w:eastAsia="en-US"/>
        </w:rPr>
        <w:t>de maternité, les prestations d</w:t>
      </w:r>
      <w:r w:rsidR="00AE1D81">
        <w:rPr>
          <w:rFonts w:eastAsia="Batang"/>
          <w:lang w:eastAsia="en-US"/>
        </w:rPr>
        <w:t>’</w:t>
      </w:r>
      <w:r w:rsidRPr="000E7150">
        <w:rPr>
          <w:rFonts w:eastAsia="Batang"/>
          <w:lang w:eastAsia="en-US"/>
        </w:rPr>
        <w:t>invalidité, de vieillesse, d</w:t>
      </w:r>
      <w:r>
        <w:rPr>
          <w:rFonts w:eastAsia="Batang"/>
          <w:lang w:eastAsia="en-US"/>
        </w:rPr>
        <w:t>e survivants, les prestations d</w:t>
      </w:r>
      <w:r w:rsidR="00AE1D81">
        <w:rPr>
          <w:rFonts w:eastAsia="Batang"/>
          <w:lang w:eastAsia="en-US"/>
        </w:rPr>
        <w:t>’</w:t>
      </w:r>
      <w:r w:rsidRPr="000E7150">
        <w:rPr>
          <w:rFonts w:eastAsia="Batang"/>
          <w:lang w:eastAsia="en-US"/>
        </w:rPr>
        <w:t>accident</w:t>
      </w:r>
      <w:r>
        <w:rPr>
          <w:rFonts w:eastAsia="Batang"/>
          <w:lang w:eastAsia="en-US"/>
        </w:rPr>
        <w:t xml:space="preserve"> </w:t>
      </w:r>
      <w:r w:rsidRPr="000E7150">
        <w:rPr>
          <w:rFonts w:eastAsia="Batang"/>
          <w:lang w:eastAsia="en-US"/>
        </w:rPr>
        <w:t>de travail et de maladie professionnelle, les allocations de décès, les prestations de chômage et les</w:t>
      </w:r>
      <w:r>
        <w:rPr>
          <w:rFonts w:eastAsia="Batang"/>
          <w:lang w:eastAsia="en-US"/>
        </w:rPr>
        <w:t xml:space="preserve"> </w:t>
      </w:r>
      <w:r w:rsidRPr="000E7150">
        <w:rPr>
          <w:rFonts w:eastAsia="Batang"/>
          <w:lang w:eastAsia="en-US"/>
        </w:rPr>
        <w:t>prestations familiales.</w:t>
      </w:r>
    </w:p>
    <w:p w:rsidR="00D81E5B" w:rsidRPr="000E7150" w:rsidRDefault="00D81E5B" w:rsidP="00D81E5B">
      <w:pPr>
        <w:pStyle w:val="ECHRParaQuote"/>
        <w:rPr>
          <w:rFonts w:eastAsia="Batang"/>
          <w:lang w:eastAsia="en-US"/>
        </w:rPr>
      </w:pPr>
      <w:r w:rsidRPr="000E7150">
        <w:rPr>
          <w:rFonts w:eastAsia="Batang"/>
          <w:lang w:eastAsia="en-US"/>
        </w:rPr>
        <w:t>Toutefois, cette disposition ne peut avoir pour effet de rendre applicables les autres règles de</w:t>
      </w:r>
      <w:r>
        <w:rPr>
          <w:rFonts w:eastAsia="Batang"/>
          <w:lang w:eastAsia="en-US"/>
        </w:rPr>
        <w:t xml:space="preserve"> </w:t>
      </w:r>
      <w:r w:rsidRPr="000E7150">
        <w:rPr>
          <w:rFonts w:eastAsia="Batang"/>
          <w:lang w:eastAsia="en-US"/>
        </w:rPr>
        <w:t xml:space="preserve">coordination prévues par la réglementation communautaire fondée sur </w:t>
      </w:r>
      <w:r>
        <w:rPr>
          <w:rFonts w:eastAsia="Batang"/>
          <w:lang w:eastAsia="en-US"/>
        </w:rPr>
        <w:t>l</w:t>
      </w:r>
      <w:r w:rsidR="00AE1D81">
        <w:rPr>
          <w:rFonts w:eastAsia="Batang"/>
          <w:lang w:eastAsia="en-US"/>
        </w:rPr>
        <w:t>’</w:t>
      </w:r>
      <w:r w:rsidRPr="000E7150">
        <w:rPr>
          <w:rFonts w:eastAsia="Batang"/>
          <w:lang w:eastAsia="en-US"/>
        </w:rPr>
        <w:t>article 51 du traité CE, autrement</w:t>
      </w:r>
      <w:r>
        <w:rPr>
          <w:rFonts w:eastAsia="Batang"/>
          <w:lang w:eastAsia="en-US"/>
        </w:rPr>
        <w:t xml:space="preserve"> </w:t>
      </w:r>
      <w:r w:rsidRPr="000E7150">
        <w:rPr>
          <w:rFonts w:eastAsia="Batang"/>
          <w:lang w:eastAsia="en-US"/>
        </w:rPr>
        <w:t>que d</w:t>
      </w:r>
      <w:r>
        <w:rPr>
          <w:rFonts w:eastAsia="Batang"/>
          <w:lang w:eastAsia="en-US"/>
        </w:rPr>
        <w:t>ans les conditions fixées par l</w:t>
      </w:r>
      <w:r w:rsidR="00AE1D81">
        <w:rPr>
          <w:rFonts w:eastAsia="Batang"/>
          <w:lang w:eastAsia="en-US"/>
        </w:rPr>
        <w:t>’</w:t>
      </w:r>
      <w:r w:rsidRPr="000E7150">
        <w:rPr>
          <w:rFonts w:eastAsia="Batang"/>
          <w:lang w:eastAsia="en-US"/>
        </w:rPr>
        <w:t>article 67 du présent accord.</w:t>
      </w:r>
    </w:p>
    <w:p w:rsidR="00D81E5B" w:rsidRPr="000E7150" w:rsidRDefault="00D81E5B" w:rsidP="00D81E5B">
      <w:pPr>
        <w:pStyle w:val="ECHRParaQuote"/>
        <w:rPr>
          <w:rFonts w:eastAsia="Batang"/>
          <w:lang w:eastAsia="en-US"/>
        </w:rPr>
      </w:pPr>
      <w:r w:rsidRPr="000E7150">
        <w:rPr>
          <w:rFonts w:eastAsia="Batang"/>
          <w:lang w:eastAsia="en-US"/>
        </w:rPr>
        <w:t>2. Ces travailleurs bénéficient de</w:t>
      </w:r>
      <w:r>
        <w:rPr>
          <w:rFonts w:eastAsia="Batang"/>
          <w:lang w:eastAsia="en-US"/>
        </w:rPr>
        <w:t xml:space="preserve"> la totalisation des périodes d</w:t>
      </w:r>
      <w:r w:rsidR="00AE1D81">
        <w:rPr>
          <w:rFonts w:eastAsia="Batang"/>
          <w:lang w:eastAsia="en-US"/>
        </w:rPr>
        <w:t>’</w:t>
      </w:r>
      <w:r>
        <w:rPr>
          <w:rFonts w:eastAsia="Batang"/>
          <w:lang w:eastAsia="en-US"/>
        </w:rPr>
        <w:t>assurance, d</w:t>
      </w:r>
      <w:r w:rsidR="00AE1D81">
        <w:rPr>
          <w:rFonts w:eastAsia="Batang"/>
          <w:lang w:eastAsia="en-US"/>
        </w:rPr>
        <w:t>’</w:t>
      </w:r>
      <w:r w:rsidRPr="000E7150">
        <w:rPr>
          <w:rFonts w:eastAsia="Batang"/>
          <w:lang w:eastAsia="en-US"/>
        </w:rPr>
        <w:t>emploi ou de résidence</w:t>
      </w:r>
      <w:r>
        <w:rPr>
          <w:rFonts w:eastAsia="Batang"/>
          <w:lang w:eastAsia="en-US"/>
        </w:rPr>
        <w:t xml:space="preserve"> </w:t>
      </w:r>
      <w:r w:rsidRPr="000E7150">
        <w:rPr>
          <w:rFonts w:eastAsia="Batang"/>
          <w:lang w:eastAsia="en-US"/>
        </w:rPr>
        <w:t>accomplies dans les différents États membres, pour ce qui concerne les pensions et rentes de vieillesse,</w:t>
      </w:r>
      <w:r>
        <w:rPr>
          <w:rFonts w:eastAsia="Batang"/>
          <w:lang w:eastAsia="en-US"/>
        </w:rPr>
        <w:t xml:space="preserve"> d</w:t>
      </w:r>
      <w:r w:rsidR="00AE1D81">
        <w:rPr>
          <w:rFonts w:eastAsia="Batang"/>
          <w:lang w:eastAsia="en-US"/>
        </w:rPr>
        <w:t>’</w:t>
      </w:r>
      <w:r w:rsidRPr="000E7150">
        <w:rPr>
          <w:rFonts w:eastAsia="Batang"/>
          <w:lang w:eastAsia="en-US"/>
        </w:rPr>
        <w:t>invalidité et de survie, les prestations familiales, les prestations de maladie et de maternité ainsi que les</w:t>
      </w:r>
      <w:r>
        <w:rPr>
          <w:rFonts w:eastAsia="Batang"/>
          <w:lang w:eastAsia="en-US"/>
        </w:rPr>
        <w:t xml:space="preserve"> </w:t>
      </w:r>
      <w:r w:rsidRPr="000E7150">
        <w:rPr>
          <w:rFonts w:eastAsia="Batang"/>
          <w:lang w:eastAsia="en-US"/>
        </w:rPr>
        <w:t>soins de santé pour eux-mêm</w:t>
      </w:r>
      <w:r>
        <w:rPr>
          <w:rFonts w:eastAsia="Batang"/>
          <w:lang w:eastAsia="en-US"/>
        </w:rPr>
        <w:t>es et leur famille résidant à l</w:t>
      </w:r>
      <w:r w:rsidR="00AE1D81">
        <w:rPr>
          <w:rFonts w:eastAsia="Batang"/>
          <w:lang w:eastAsia="en-US"/>
        </w:rPr>
        <w:t>’</w:t>
      </w:r>
      <w:r w:rsidRPr="000E7150">
        <w:rPr>
          <w:rFonts w:eastAsia="Batang"/>
          <w:lang w:eastAsia="en-US"/>
        </w:rPr>
        <w:t>intérieur de la Communauté.</w:t>
      </w:r>
    </w:p>
    <w:p w:rsidR="00D81E5B" w:rsidRPr="000E7150" w:rsidRDefault="00D81E5B" w:rsidP="00D81E5B">
      <w:pPr>
        <w:pStyle w:val="ECHRParaQuote"/>
        <w:rPr>
          <w:rFonts w:eastAsia="Batang"/>
          <w:lang w:eastAsia="en-US"/>
        </w:rPr>
      </w:pPr>
      <w:r w:rsidRPr="000E7150">
        <w:rPr>
          <w:rFonts w:eastAsia="Batang"/>
          <w:lang w:eastAsia="en-US"/>
        </w:rPr>
        <w:t>3. Ces travailleurs bénéficient des prestations familiales pour les membres de leur famille résidant à</w:t>
      </w:r>
      <w:r>
        <w:rPr>
          <w:rFonts w:eastAsia="Batang"/>
          <w:lang w:eastAsia="en-US"/>
        </w:rPr>
        <w:t xml:space="preserve"> l</w:t>
      </w:r>
      <w:r w:rsidR="00AE1D81">
        <w:rPr>
          <w:rFonts w:eastAsia="Batang"/>
          <w:lang w:eastAsia="en-US"/>
        </w:rPr>
        <w:t>’</w:t>
      </w:r>
      <w:r w:rsidRPr="000E7150">
        <w:rPr>
          <w:rFonts w:eastAsia="Batang"/>
          <w:lang w:eastAsia="en-US"/>
        </w:rPr>
        <w:t>intérieur de la Communauté.</w:t>
      </w:r>
    </w:p>
    <w:p w:rsidR="00D81E5B" w:rsidRPr="000E7150" w:rsidRDefault="00D81E5B" w:rsidP="00D81E5B">
      <w:pPr>
        <w:pStyle w:val="ECHRParaQuote"/>
        <w:rPr>
          <w:rFonts w:eastAsia="Batang"/>
          <w:lang w:eastAsia="en-US"/>
        </w:rPr>
      </w:pPr>
      <w:r w:rsidRPr="000E7150">
        <w:rPr>
          <w:rFonts w:eastAsia="Batang"/>
          <w:lang w:eastAsia="en-US"/>
        </w:rPr>
        <w:t>4. Ces travailleurs bénéficient du libre transfert vers la Tunisie, aux taux appliqués en vertu de la</w:t>
      </w:r>
      <w:r>
        <w:rPr>
          <w:rFonts w:eastAsia="Batang"/>
          <w:lang w:eastAsia="en-US"/>
        </w:rPr>
        <w:t xml:space="preserve"> législation de l</w:t>
      </w:r>
      <w:r w:rsidR="00AE1D81">
        <w:rPr>
          <w:rFonts w:eastAsia="Batang"/>
          <w:lang w:eastAsia="en-US"/>
        </w:rPr>
        <w:t>’</w:t>
      </w:r>
      <w:r w:rsidRPr="000E7150">
        <w:rPr>
          <w:rFonts w:eastAsia="Batang"/>
          <w:lang w:eastAsia="en-US"/>
        </w:rPr>
        <w:t>État membre ou des États membres débiteurs, des pensions et rentes de vieillesse, de</w:t>
      </w:r>
      <w:r>
        <w:rPr>
          <w:rFonts w:eastAsia="Batang"/>
          <w:lang w:eastAsia="en-US"/>
        </w:rPr>
        <w:t xml:space="preserve"> survie et d</w:t>
      </w:r>
      <w:r w:rsidR="00AE1D81">
        <w:rPr>
          <w:rFonts w:eastAsia="Batang"/>
          <w:lang w:eastAsia="en-US"/>
        </w:rPr>
        <w:t>’</w:t>
      </w:r>
      <w:r w:rsidRPr="000E7150">
        <w:rPr>
          <w:rFonts w:eastAsia="Batang"/>
          <w:lang w:eastAsia="en-US"/>
        </w:rPr>
        <w:t>accident de travail ou de maladie professionnelle, ainsi que</w:t>
      </w:r>
      <w:r>
        <w:rPr>
          <w:rFonts w:eastAsia="Batang"/>
          <w:lang w:eastAsia="en-US"/>
        </w:rPr>
        <w:t xml:space="preserve"> d</w:t>
      </w:r>
      <w:r w:rsidR="00AE1D81">
        <w:rPr>
          <w:rFonts w:eastAsia="Batang"/>
          <w:lang w:eastAsia="en-US"/>
        </w:rPr>
        <w:t>’</w:t>
      </w:r>
      <w:r>
        <w:rPr>
          <w:rFonts w:eastAsia="Batang"/>
          <w:lang w:eastAsia="en-US"/>
        </w:rPr>
        <w:t>invalidité, en cas d</w:t>
      </w:r>
      <w:r w:rsidR="00AE1D81">
        <w:rPr>
          <w:rFonts w:eastAsia="Batang"/>
          <w:lang w:eastAsia="en-US"/>
        </w:rPr>
        <w:t>’</w:t>
      </w:r>
      <w:r w:rsidRPr="000E7150">
        <w:rPr>
          <w:rFonts w:eastAsia="Batang"/>
          <w:lang w:eastAsia="en-US"/>
        </w:rPr>
        <w:t>accident de</w:t>
      </w:r>
      <w:r>
        <w:rPr>
          <w:rFonts w:eastAsia="Batang"/>
          <w:lang w:eastAsia="en-US"/>
        </w:rPr>
        <w:t xml:space="preserve"> </w:t>
      </w:r>
      <w:r w:rsidRPr="000E7150">
        <w:rPr>
          <w:rFonts w:eastAsia="Batang"/>
          <w:lang w:eastAsia="en-US"/>
        </w:rPr>
        <w:t xml:space="preserve">travail ou </w:t>
      </w:r>
      <w:r>
        <w:rPr>
          <w:rFonts w:eastAsia="Batang"/>
          <w:lang w:eastAsia="en-US"/>
        </w:rPr>
        <w:t>de maladie professionnelle, à l</w:t>
      </w:r>
      <w:r w:rsidR="00AE1D81">
        <w:rPr>
          <w:rFonts w:eastAsia="Batang"/>
          <w:lang w:eastAsia="en-US"/>
        </w:rPr>
        <w:t>’</w:t>
      </w:r>
      <w:r w:rsidRPr="000E7150">
        <w:rPr>
          <w:rFonts w:eastAsia="Batang"/>
          <w:lang w:eastAsia="en-US"/>
        </w:rPr>
        <w:t>exception des prestations spéciales à caractère non contributif.</w:t>
      </w:r>
    </w:p>
    <w:p w:rsidR="00A95CCF" w:rsidRDefault="00D81E5B" w:rsidP="00D81E5B">
      <w:pPr>
        <w:pStyle w:val="ECHRParaQuote"/>
      </w:pPr>
      <w:r w:rsidRPr="000E7150">
        <w:rPr>
          <w:rFonts w:eastAsia="Batang"/>
          <w:lang w:eastAsia="en-US"/>
        </w:rPr>
        <w:t>5. La Tunisie accorde aux travailleurs ressortissants des États membres occupés sur son territoire, ainsi</w:t>
      </w:r>
      <w:r>
        <w:rPr>
          <w:rFonts w:eastAsia="Batang"/>
          <w:lang w:eastAsia="en-US"/>
        </w:rPr>
        <w:t xml:space="preserve"> qu</w:t>
      </w:r>
      <w:r w:rsidR="00AE1D81">
        <w:rPr>
          <w:rFonts w:eastAsia="Batang"/>
          <w:lang w:eastAsia="en-US"/>
        </w:rPr>
        <w:t>’</w:t>
      </w:r>
      <w:r w:rsidRPr="000E7150">
        <w:rPr>
          <w:rFonts w:eastAsia="Batang"/>
          <w:lang w:eastAsia="en-US"/>
        </w:rPr>
        <w:t>aux membres de leur famille, un régime analogue à celui prévu aux paragraphes 1, 3 et 4</w:t>
      </w:r>
      <w:r>
        <w:rPr>
          <w:rFonts w:eastAsia="Batang"/>
          <w:lang w:eastAsia="en-US"/>
        </w:rPr>
        <w:t>. »</w:t>
      </w:r>
    </w:p>
    <w:p w:rsidR="00D81E5B" w:rsidRDefault="00F44484" w:rsidP="00D81E5B">
      <w:pPr>
        <w:pStyle w:val="ECHRPara"/>
      </w:pPr>
      <w:r>
        <w:fldChar w:fldCharType="begin"/>
      </w:r>
      <w:r>
        <w:instrText xml:space="preserve"> SEQ level0 \*arabic </w:instrText>
      </w:r>
      <w:r>
        <w:fldChar w:fldCharType="separate"/>
      </w:r>
      <w:r>
        <w:rPr>
          <w:noProof/>
        </w:rPr>
        <w:t>9</w:t>
      </w:r>
      <w:r>
        <w:rPr>
          <w:noProof/>
        </w:rPr>
        <w:fldChar w:fldCharType="end"/>
      </w:r>
      <w:r w:rsidR="00D81E5B">
        <w:t>.  Par un jugement du 10 avril 2002, le tribunal de Marsala rejeta le recours du requérant.</w:t>
      </w:r>
    </w:p>
    <w:bookmarkStart w:id="2" w:name="questionprejudicielle1"/>
    <w:p w:rsidR="00A95CCF" w:rsidRDefault="00D81E5B" w:rsidP="00D81E5B">
      <w:pPr>
        <w:pStyle w:val="ECHRPara"/>
      </w:pPr>
      <w:r>
        <w:fldChar w:fldCharType="begin"/>
      </w:r>
      <w:r>
        <w:instrText xml:space="preserve"> SEQ level0 \*arabic </w:instrText>
      </w:r>
      <w:r>
        <w:fldChar w:fldCharType="separate"/>
      </w:r>
      <w:r w:rsidR="00F44484">
        <w:rPr>
          <w:noProof/>
        </w:rPr>
        <w:t>10</w:t>
      </w:r>
      <w:r>
        <w:rPr>
          <w:noProof/>
        </w:rPr>
        <w:fldChar w:fldCharType="end"/>
      </w:r>
      <w:bookmarkEnd w:id="2"/>
      <w:r>
        <w:t xml:space="preserve">.  Le requérant interjeta appel. Il demanda, entre autres, </w:t>
      </w:r>
      <w:r w:rsidR="0056464A">
        <w:t xml:space="preserve">que soit </w:t>
      </w:r>
      <w:r>
        <w:t>pos</w:t>
      </w:r>
      <w:r w:rsidR="0056464A">
        <w:t>é</w:t>
      </w:r>
      <w:r>
        <w:t xml:space="preserve">e </w:t>
      </w:r>
      <w:r w:rsidR="00645BD9">
        <w:t xml:space="preserve">à titre préjudiciel </w:t>
      </w:r>
      <w:r>
        <w:t xml:space="preserve">à la Cour </w:t>
      </w:r>
      <w:r w:rsidR="00494CEB">
        <w:t>de justice</w:t>
      </w:r>
      <w:r>
        <w:t xml:space="preserve"> </w:t>
      </w:r>
      <w:r w:rsidR="0078054A">
        <w:t>de l</w:t>
      </w:r>
      <w:r w:rsidR="00AE1D81">
        <w:t>’</w:t>
      </w:r>
      <w:r w:rsidR="0078054A">
        <w:t>Union européenne</w:t>
      </w:r>
      <w:r>
        <w:t xml:space="preserve"> (</w:t>
      </w:r>
      <w:r w:rsidR="0078054A">
        <w:rPr>
          <w:rStyle w:val="sb8d990e2"/>
        </w:rPr>
        <w:t>CJUE</w:t>
      </w:r>
      <w:r>
        <w:rPr>
          <w:rStyle w:val="sb8d990e2"/>
        </w:rPr>
        <w:t>)</w:t>
      </w:r>
      <w:r>
        <w:t xml:space="preserve"> la question de savoir si l</w:t>
      </w:r>
      <w:r w:rsidR="00AE1D81">
        <w:t>’</w:t>
      </w:r>
      <w:r>
        <w:t>article 65 de l</w:t>
      </w:r>
      <w:r w:rsidR="00AE1D81">
        <w:t>’</w:t>
      </w:r>
      <w:r>
        <w:t xml:space="preserve">Accord </w:t>
      </w:r>
      <w:r w:rsidR="00FE49FA">
        <w:t>euro</w:t>
      </w:r>
      <w:r>
        <w:t>-méditerranéen permettait de refuser à un travailleur tunisien l</w:t>
      </w:r>
      <w:r w:rsidR="00AE1D81">
        <w:t>’</w:t>
      </w:r>
      <w:r>
        <w:t>allocation familiale prévue par l</w:t>
      </w:r>
      <w:r w:rsidR="00AE1D81">
        <w:t>’</w:t>
      </w:r>
      <w:r>
        <w:t>article</w:t>
      </w:r>
      <w:r w:rsidR="008D4ECE">
        <w:t> </w:t>
      </w:r>
      <w:r>
        <w:t>65 de la loi n</w:t>
      </w:r>
      <w:r w:rsidR="00143C2E" w:rsidRPr="00143C2E">
        <w:rPr>
          <w:vertAlign w:val="superscript"/>
        </w:rPr>
        <w:t>o</w:t>
      </w:r>
      <w:r>
        <w:t> 448 de 1998.</w:t>
      </w:r>
    </w:p>
    <w:p w:rsidR="00A95CCF" w:rsidRDefault="00F44484" w:rsidP="00D81E5B">
      <w:pPr>
        <w:pStyle w:val="ECHRPara"/>
      </w:pPr>
      <w:r>
        <w:fldChar w:fldCharType="begin"/>
      </w:r>
      <w:r>
        <w:instrText xml:space="preserve"> SEQ level0 \*arabic </w:instrText>
      </w:r>
      <w:r>
        <w:fldChar w:fldCharType="separate"/>
      </w:r>
      <w:r>
        <w:rPr>
          <w:noProof/>
        </w:rPr>
        <w:t>11</w:t>
      </w:r>
      <w:r>
        <w:rPr>
          <w:noProof/>
        </w:rPr>
        <w:fldChar w:fldCharType="end"/>
      </w:r>
      <w:r w:rsidR="00D81E5B">
        <w:t>.  Par un arrêt du 21 octobre 2004, la cour d</w:t>
      </w:r>
      <w:r w:rsidR="00AE1D81">
        <w:t>’</w:t>
      </w:r>
      <w:r w:rsidR="00D81E5B">
        <w:t>appel de Palerme rejeta l</w:t>
      </w:r>
      <w:r w:rsidR="00AE1D81">
        <w:t>’</w:t>
      </w:r>
      <w:r w:rsidR="00D81E5B">
        <w:t>appel du requérant. Elle observa que, étant fondée uniquement sur les revenus et la situation familiale des bénéficiaires, l</w:t>
      </w:r>
      <w:r w:rsidR="00AE1D81">
        <w:t>’</w:t>
      </w:r>
      <w:r w:rsidR="00D81E5B">
        <w:t>allocation sollicitée relevait de l</w:t>
      </w:r>
      <w:r w:rsidR="00AE1D81">
        <w:t>’</w:t>
      </w:r>
      <w:r w:rsidR="00D81E5B">
        <w:t xml:space="preserve">assistance </w:t>
      </w:r>
      <w:r w:rsidR="002846DA">
        <w:t xml:space="preserve">sociale </w:t>
      </w:r>
      <w:r w:rsidR="00D81E5B">
        <w:t>(</w:t>
      </w:r>
      <w:r w:rsidR="00D81E5B">
        <w:rPr>
          <w:i/>
        </w:rPr>
        <w:t>assistenza sociale</w:t>
      </w:r>
      <w:r w:rsidR="00D81E5B">
        <w:t>). Elle était initialement prévue seulement pour les citoyens italiens, et avait ensuite été étendue à tous les ressortissants de l</w:t>
      </w:r>
      <w:r w:rsidR="00AE1D81">
        <w:t>’</w:t>
      </w:r>
      <w:r w:rsidR="00D81E5B">
        <w:t>Union européenne. Or, l</w:t>
      </w:r>
      <w:r w:rsidR="00AE1D81">
        <w:t>’</w:t>
      </w:r>
      <w:r w:rsidR="00D81E5B">
        <w:t xml:space="preserve">Accord </w:t>
      </w:r>
      <w:r w:rsidR="00215C23">
        <w:t>e</w:t>
      </w:r>
      <w:r w:rsidR="00D81E5B">
        <w:t>uro-méditerranéen ne concernait que les prestations de prévoyance (</w:t>
      </w:r>
      <w:r w:rsidR="00D81E5B">
        <w:rPr>
          <w:i/>
        </w:rPr>
        <w:t>prestazioni previdenziali</w:t>
      </w:r>
      <w:r w:rsidR="00D81E5B">
        <w:t>), et n</w:t>
      </w:r>
      <w:r w:rsidR="00AE1D81">
        <w:t>’</w:t>
      </w:r>
      <w:r w:rsidR="00D81E5B">
        <w:t>était donc pas applicable à l</w:t>
      </w:r>
      <w:r w:rsidR="00AE1D81">
        <w:t>’</w:t>
      </w:r>
      <w:r w:rsidR="00D81E5B">
        <w:t xml:space="preserve">allocation </w:t>
      </w:r>
      <w:r w:rsidR="00215C23">
        <w:t xml:space="preserve">de foyer </w:t>
      </w:r>
      <w:r w:rsidR="00D81E5B">
        <w:t>familial prévue par l</w:t>
      </w:r>
      <w:r w:rsidR="00AE1D81">
        <w:t>’</w:t>
      </w:r>
      <w:r w:rsidR="00D81E5B">
        <w:t>article 65 de la loi n</w:t>
      </w:r>
      <w:r w:rsidR="00143C2E" w:rsidRPr="00143C2E">
        <w:rPr>
          <w:vertAlign w:val="superscript"/>
        </w:rPr>
        <w:t>o</w:t>
      </w:r>
      <w:r w:rsidR="00D81E5B">
        <w:t> 448 de 1998.</w:t>
      </w:r>
      <w:bookmarkStart w:id="3" w:name="questionprejudicielle2"/>
    </w:p>
    <w:p w:rsidR="00A95CCF" w:rsidRDefault="00F44484" w:rsidP="00D81E5B">
      <w:pPr>
        <w:pStyle w:val="ECHRPara"/>
      </w:pPr>
      <w:r>
        <w:fldChar w:fldCharType="begin"/>
      </w:r>
      <w:r>
        <w:instrText xml:space="preserve"> SEQ level0 \*arabic </w:instrText>
      </w:r>
      <w:r>
        <w:fldChar w:fldCharType="separate"/>
      </w:r>
      <w:r>
        <w:rPr>
          <w:noProof/>
        </w:rPr>
        <w:t>12</w:t>
      </w:r>
      <w:r>
        <w:rPr>
          <w:noProof/>
        </w:rPr>
        <w:fldChar w:fldCharType="end"/>
      </w:r>
      <w:bookmarkEnd w:id="3"/>
      <w:r w:rsidR="00D81E5B">
        <w:t xml:space="preserve">.  Le requérant se pourvut en cassation, réitérant sa demande de </w:t>
      </w:r>
      <w:r w:rsidR="00215C23">
        <w:t>renvoi d</w:t>
      </w:r>
      <w:r w:rsidR="00AE1D81">
        <w:t>’</w:t>
      </w:r>
      <w:r w:rsidR="00D81E5B">
        <w:t xml:space="preserve">une question préjudicielle à la </w:t>
      </w:r>
      <w:r w:rsidR="0078054A">
        <w:rPr>
          <w:rStyle w:val="sb8d990e2"/>
        </w:rPr>
        <w:t>CJUE</w:t>
      </w:r>
      <w:r w:rsidR="00D81E5B">
        <w:t>.</w:t>
      </w:r>
      <w:bookmarkStart w:id="4" w:name="prononcécassation"/>
    </w:p>
    <w:p w:rsidR="00A95CCF" w:rsidRDefault="00F44484" w:rsidP="00D81E5B">
      <w:pPr>
        <w:pStyle w:val="ECHRPara"/>
      </w:pPr>
      <w:r>
        <w:fldChar w:fldCharType="begin"/>
      </w:r>
      <w:r>
        <w:instrText xml:space="preserve"> SEQ level0 \*arabic </w:instrText>
      </w:r>
      <w:r>
        <w:fldChar w:fldCharType="separate"/>
      </w:r>
      <w:r>
        <w:rPr>
          <w:noProof/>
        </w:rPr>
        <w:t>13</w:t>
      </w:r>
      <w:r>
        <w:rPr>
          <w:noProof/>
        </w:rPr>
        <w:fldChar w:fldCharType="end"/>
      </w:r>
      <w:bookmarkEnd w:id="4"/>
      <w:r w:rsidR="00D81E5B">
        <w:t xml:space="preserve">.  Par un arrêt du 15 avril 2008, dont le texte fut déposé au greffe le 29 septembre 2008, la Cour de cassation </w:t>
      </w:r>
      <w:r w:rsidR="00215C23">
        <w:t>rejeta le</w:t>
      </w:r>
      <w:r w:rsidR="00D81E5B">
        <w:t xml:space="preserve"> pourvoi.</w:t>
      </w:r>
    </w:p>
    <w:p w:rsidR="00D81E5B" w:rsidRDefault="00F44484" w:rsidP="00D81E5B">
      <w:pPr>
        <w:pStyle w:val="ECHRPara"/>
      </w:pPr>
      <w:r>
        <w:fldChar w:fldCharType="begin"/>
      </w:r>
      <w:r>
        <w:instrText xml:space="preserve"> SEQ level0 \*arabic </w:instrText>
      </w:r>
      <w:r>
        <w:fldChar w:fldCharType="separate"/>
      </w:r>
      <w:r>
        <w:rPr>
          <w:noProof/>
        </w:rPr>
        <w:t>14</w:t>
      </w:r>
      <w:r>
        <w:rPr>
          <w:noProof/>
        </w:rPr>
        <w:fldChar w:fldCharType="end"/>
      </w:r>
      <w:r w:rsidR="00D81E5B">
        <w:t>.  </w:t>
      </w:r>
      <w:r w:rsidR="00215C23">
        <w:t xml:space="preserve">Dans ses motifs, </w:t>
      </w:r>
      <w:r w:rsidR="00800CCB">
        <w:t>la Cour de cassation</w:t>
      </w:r>
      <w:r w:rsidR="00D81E5B">
        <w:t xml:space="preserve"> observa tout d</w:t>
      </w:r>
      <w:r w:rsidR="00AE1D81">
        <w:t>’</w:t>
      </w:r>
      <w:r w:rsidR="00D81E5B">
        <w:t>abord que l</w:t>
      </w:r>
      <w:r w:rsidR="00AE1D81">
        <w:t>’</w:t>
      </w:r>
      <w:r w:rsidR="00D81E5B">
        <w:t>article 64 §§ 1 et 2 de l</w:t>
      </w:r>
      <w:r w:rsidR="00AE1D81">
        <w:t>’</w:t>
      </w:r>
      <w:r w:rsidR="00D81E5B">
        <w:t xml:space="preserve">Accord </w:t>
      </w:r>
      <w:r w:rsidR="00DE73BC">
        <w:t>e</w:t>
      </w:r>
      <w:r w:rsidR="00D81E5B">
        <w:t>uro-méditerranéen disposait notamment :</w:t>
      </w:r>
    </w:p>
    <w:p w:rsidR="00D81E5B" w:rsidRPr="00B54F43" w:rsidRDefault="00D81E5B" w:rsidP="00D81E5B">
      <w:pPr>
        <w:pStyle w:val="ECHRParaQuote"/>
        <w:rPr>
          <w:lang w:eastAsia="en-US"/>
        </w:rPr>
      </w:pPr>
      <w:r>
        <w:rPr>
          <w:lang w:eastAsia="en-US"/>
        </w:rPr>
        <w:t>« </w:t>
      </w:r>
      <w:r w:rsidRPr="00B54F43">
        <w:rPr>
          <w:lang w:eastAsia="en-US"/>
        </w:rPr>
        <w:t>1. Chaque État membre accorde aux travailleurs de nationalité tunisienne occupés sur son territo</w:t>
      </w:r>
      <w:r>
        <w:rPr>
          <w:lang w:eastAsia="en-US"/>
        </w:rPr>
        <w:t>ire un régime caractérisé par l</w:t>
      </w:r>
      <w:r w:rsidR="00AE1D81">
        <w:rPr>
          <w:lang w:eastAsia="en-US"/>
        </w:rPr>
        <w:t>’</w:t>
      </w:r>
      <w:r w:rsidRPr="00B54F43">
        <w:rPr>
          <w:lang w:eastAsia="en-US"/>
        </w:rPr>
        <w:t>absence de toute discrimination fondée sur la nationalité par rapport à ses propres ressortissants, en ce qui concerne les conditions de travail, de rémunération et de licenciement.</w:t>
      </w:r>
    </w:p>
    <w:p w:rsidR="00D81E5B" w:rsidRDefault="00D81E5B" w:rsidP="00D81E5B">
      <w:pPr>
        <w:pStyle w:val="ECHRParaQuote"/>
        <w:rPr>
          <w:lang w:eastAsia="en-US"/>
        </w:rPr>
      </w:pPr>
      <w:r w:rsidRPr="00B54F43">
        <w:rPr>
          <w:lang w:eastAsia="en-US"/>
        </w:rPr>
        <w:t>2. Tout travailleur tunisien autorisé à exercer une activité professionnel</w:t>
      </w:r>
      <w:r>
        <w:rPr>
          <w:lang w:eastAsia="en-US"/>
        </w:rPr>
        <w:t>le salariée sur le territoire d</w:t>
      </w:r>
      <w:r w:rsidR="00AE1D81">
        <w:rPr>
          <w:lang w:eastAsia="en-US"/>
        </w:rPr>
        <w:t>’</w:t>
      </w:r>
      <w:r w:rsidRPr="00B54F43">
        <w:rPr>
          <w:lang w:eastAsia="en-US"/>
        </w:rPr>
        <w:t>un État membre à titre temporaire bénéficie des dispositions du paragraphe 1 en ce qui concerne les conditions de travail et de rémunération.</w:t>
      </w:r>
      <w:r>
        <w:rPr>
          <w:lang w:eastAsia="en-US"/>
        </w:rPr>
        <w:t> »</w:t>
      </w:r>
    </w:p>
    <w:p w:rsidR="00A95CCF" w:rsidRDefault="00D81E5B" w:rsidP="00D81E5B">
      <w:pPr>
        <w:pStyle w:val="ECHRPara"/>
        <w:rPr>
          <w:rFonts w:eastAsia="Batang"/>
          <w:lang w:eastAsia="en-US"/>
        </w:rPr>
      </w:pPr>
      <w:r>
        <w:rPr>
          <w:lang w:eastAsia="en-US"/>
        </w:rPr>
        <w:fldChar w:fldCharType="begin"/>
      </w:r>
      <w:r>
        <w:rPr>
          <w:lang w:eastAsia="en-US"/>
        </w:rPr>
        <w:instrText xml:space="preserve"> SEQ level0 \*arabic </w:instrText>
      </w:r>
      <w:r>
        <w:rPr>
          <w:lang w:eastAsia="en-US"/>
        </w:rPr>
        <w:fldChar w:fldCharType="separate"/>
      </w:r>
      <w:r w:rsidR="00F44484">
        <w:rPr>
          <w:noProof/>
          <w:lang w:eastAsia="en-US"/>
        </w:rPr>
        <w:t>15</w:t>
      </w:r>
      <w:r>
        <w:rPr>
          <w:lang w:eastAsia="en-US"/>
        </w:rPr>
        <w:fldChar w:fldCharType="end"/>
      </w:r>
      <w:r>
        <w:rPr>
          <w:lang w:eastAsia="en-US"/>
        </w:rPr>
        <w:t>.  </w:t>
      </w:r>
      <w:r w:rsidR="00800CCB">
        <w:rPr>
          <w:lang w:eastAsia="en-US"/>
        </w:rPr>
        <w:t>Relevant que</w:t>
      </w:r>
      <w:r>
        <w:rPr>
          <w:lang w:eastAsia="en-US"/>
        </w:rPr>
        <w:t xml:space="preserve"> ce texte se référait explicitement aux relations de travail et aux éléments qui les constituaient</w:t>
      </w:r>
      <w:r w:rsidR="00800CCB">
        <w:rPr>
          <w:lang w:eastAsia="en-US"/>
        </w:rPr>
        <w:t>, la Cour de cassation en déduisit qu</w:t>
      </w:r>
      <w:r w:rsidR="00AE1D81">
        <w:rPr>
          <w:lang w:eastAsia="en-US"/>
        </w:rPr>
        <w:t>’</w:t>
      </w:r>
      <w:r>
        <w:rPr>
          <w:lang w:eastAsia="en-US"/>
        </w:rPr>
        <w:t>il ne trouvait à s</w:t>
      </w:r>
      <w:r w:rsidR="00AE1D81">
        <w:rPr>
          <w:lang w:eastAsia="en-US"/>
        </w:rPr>
        <w:t>’</w:t>
      </w:r>
      <w:r>
        <w:rPr>
          <w:lang w:eastAsia="en-US"/>
        </w:rPr>
        <w:t>appliquer qu</w:t>
      </w:r>
      <w:r w:rsidR="00AE1D81">
        <w:rPr>
          <w:lang w:eastAsia="en-US"/>
        </w:rPr>
        <w:t>’</w:t>
      </w:r>
      <w:r>
        <w:rPr>
          <w:lang w:eastAsia="en-US"/>
        </w:rPr>
        <w:t xml:space="preserve">aux </w:t>
      </w:r>
      <w:r>
        <w:t xml:space="preserve">prestations de prévoyance, et non aux allocations </w:t>
      </w:r>
      <w:r w:rsidR="002846DA">
        <w:t>d</w:t>
      </w:r>
      <w:r w:rsidR="00AE1D81">
        <w:t>’</w:t>
      </w:r>
      <w:r>
        <w:t>assistance, comme celle revendiquée par le requérant et à laquelle les citoyens tunisiens résid</w:t>
      </w:r>
      <w:r w:rsidR="00F07984">
        <w:t>a</w:t>
      </w:r>
      <w:r>
        <w:t>nt en Italie n</w:t>
      </w:r>
      <w:r w:rsidR="00AE1D81">
        <w:t>’</w:t>
      </w:r>
      <w:r>
        <w:t>avaient pas droit.</w:t>
      </w:r>
      <w:r w:rsidR="003778BA">
        <w:t xml:space="preserve"> Cette interprétation était </w:t>
      </w:r>
      <w:r w:rsidR="00800CCB">
        <w:t xml:space="preserve">selon elle </w:t>
      </w:r>
      <w:r w:rsidR="003778BA">
        <w:t>également confirmée par l</w:t>
      </w:r>
      <w:r w:rsidR="00AE1D81">
        <w:t>’</w:t>
      </w:r>
      <w:r w:rsidR="003778BA">
        <w:t>article 65 §§ 1 et 2 de l</w:t>
      </w:r>
      <w:r w:rsidR="00AE1D81">
        <w:t>’</w:t>
      </w:r>
      <w:r w:rsidR="003778BA">
        <w:t xml:space="preserve">Accord </w:t>
      </w:r>
      <w:r w:rsidR="00FE49FA">
        <w:t>euro</w:t>
      </w:r>
      <w:r w:rsidR="003778BA">
        <w:t xml:space="preserve">-méditerranéen, qui mentionnait notamment « les </w:t>
      </w:r>
      <w:r w:rsidR="003778BA" w:rsidRPr="000E7150">
        <w:rPr>
          <w:rFonts w:eastAsia="Batang"/>
          <w:lang w:eastAsia="en-US"/>
        </w:rPr>
        <w:t>prestations de</w:t>
      </w:r>
      <w:r w:rsidR="003778BA">
        <w:rPr>
          <w:rFonts w:eastAsia="Batang"/>
          <w:lang w:eastAsia="en-US"/>
        </w:rPr>
        <w:t xml:space="preserve"> </w:t>
      </w:r>
      <w:r w:rsidR="003778BA" w:rsidRPr="000E7150">
        <w:rPr>
          <w:rFonts w:eastAsia="Batang"/>
          <w:lang w:eastAsia="en-US"/>
        </w:rPr>
        <w:t xml:space="preserve">maladie et </w:t>
      </w:r>
      <w:r w:rsidR="003778BA">
        <w:rPr>
          <w:rFonts w:eastAsia="Batang"/>
          <w:lang w:eastAsia="en-US"/>
        </w:rPr>
        <w:t>de maternité, les prestations d</w:t>
      </w:r>
      <w:r w:rsidR="00AE1D81">
        <w:rPr>
          <w:rFonts w:eastAsia="Batang"/>
          <w:lang w:eastAsia="en-US"/>
        </w:rPr>
        <w:t>’</w:t>
      </w:r>
      <w:r w:rsidR="003778BA" w:rsidRPr="000E7150">
        <w:rPr>
          <w:rFonts w:eastAsia="Batang"/>
          <w:lang w:eastAsia="en-US"/>
        </w:rPr>
        <w:t>invalidité, de vieillesse, d</w:t>
      </w:r>
      <w:r w:rsidR="003778BA">
        <w:rPr>
          <w:rFonts w:eastAsia="Batang"/>
          <w:lang w:eastAsia="en-US"/>
        </w:rPr>
        <w:t>e survivants, les prestations d</w:t>
      </w:r>
      <w:r w:rsidR="00AE1D81">
        <w:rPr>
          <w:rFonts w:eastAsia="Batang"/>
          <w:lang w:eastAsia="en-US"/>
        </w:rPr>
        <w:t>’</w:t>
      </w:r>
      <w:r w:rsidR="003778BA" w:rsidRPr="000E7150">
        <w:rPr>
          <w:rFonts w:eastAsia="Batang"/>
          <w:lang w:eastAsia="en-US"/>
        </w:rPr>
        <w:t>accident</w:t>
      </w:r>
      <w:r w:rsidR="003778BA">
        <w:rPr>
          <w:rFonts w:eastAsia="Batang"/>
          <w:lang w:eastAsia="en-US"/>
        </w:rPr>
        <w:t xml:space="preserve"> </w:t>
      </w:r>
      <w:r w:rsidR="003778BA" w:rsidRPr="000E7150">
        <w:rPr>
          <w:rFonts w:eastAsia="Batang"/>
          <w:lang w:eastAsia="en-US"/>
        </w:rPr>
        <w:t>de travail et de maladie professionnelle, les allocations de décès, les prestations de chômage et les</w:t>
      </w:r>
      <w:r w:rsidR="003778BA">
        <w:rPr>
          <w:rFonts w:eastAsia="Batang"/>
          <w:lang w:eastAsia="en-US"/>
        </w:rPr>
        <w:t xml:space="preserve"> </w:t>
      </w:r>
      <w:r w:rsidR="003778BA" w:rsidRPr="000E7150">
        <w:rPr>
          <w:rFonts w:eastAsia="Batang"/>
          <w:lang w:eastAsia="en-US"/>
        </w:rPr>
        <w:t>prestations familiales</w:t>
      </w:r>
      <w:r w:rsidR="003778BA">
        <w:rPr>
          <w:rFonts w:eastAsia="Batang"/>
          <w:lang w:eastAsia="en-US"/>
        </w:rPr>
        <w:t> ». La Cour de cassation souligna que son interprétation ne se fondait pas seulement sur la référence textuelle à la « sécurité sociale »</w:t>
      </w:r>
      <w:r w:rsidR="007420D9">
        <w:rPr>
          <w:rFonts w:eastAsia="Batang"/>
          <w:lang w:eastAsia="en-US"/>
        </w:rPr>
        <w:t xml:space="preserve"> (</w:t>
      </w:r>
      <w:r w:rsidR="007420D9" w:rsidRPr="005629EA">
        <w:rPr>
          <w:rFonts w:eastAsia="Batang"/>
          <w:i/>
          <w:lang w:eastAsia="en-US"/>
        </w:rPr>
        <w:t>previdenza sociale</w:t>
      </w:r>
      <w:r w:rsidR="007420D9" w:rsidRPr="005629EA">
        <w:rPr>
          <w:rFonts w:eastAsia="Batang"/>
          <w:lang w:eastAsia="en-US"/>
        </w:rPr>
        <w:t>)</w:t>
      </w:r>
      <w:r w:rsidR="003778BA">
        <w:rPr>
          <w:rFonts w:eastAsia="Batang"/>
          <w:lang w:eastAsia="en-US"/>
        </w:rPr>
        <w:t xml:space="preserve"> mais, comme indiqué par la CJUE, sur les éléments constitutifs de chaque prestation.</w:t>
      </w:r>
      <w:bookmarkStart w:id="5" w:name="notificationarret"/>
    </w:p>
    <w:p w:rsidR="0000732D" w:rsidRPr="0018449E" w:rsidRDefault="00F44484" w:rsidP="0018449E">
      <w:pPr>
        <w:pStyle w:val="JuParaChar"/>
      </w:pPr>
      <w:r>
        <w:fldChar w:fldCharType="begin"/>
      </w:r>
      <w:r>
        <w:instrText xml:space="preserve"> SEQ level0 \*arabic </w:instrText>
      </w:r>
      <w:r>
        <w:fldChar w:fldCharType="separate"/>
      </w:r>
      <w:r>
        <w:rPr>
          <w:noProof/>
        </w:rPr>
        <w:t>16</w:t>
      </w:r>
      <w:r>
        <w:rPr>
          <w:noProof/>
        </w:rPr>
        <w:fldChar w:fldCharType="end"/>
      </w:r>
      <w:bookmarkEnd w:id="5"/>
      <w:r w:rsidR="00D81E5B">
        <w:t>.  </w:t>
      </w:r>
      <w:r w:rsidR="00D81E5B" w:rsidRPr="008E0E8F">
        <w:t>Cet arrêt fut notifié au requérant le 2 octobre 2008.</w:t>
      </w:r>
    </w:p>
    <w:p w:rsidR="00EC6427" w:rsidRPr="00685582" w:rsidRDefault="00EC6427" w:rsidP="00B33C50">
      <w:pPr>
        <w:pStyle w:val="ECHRTitle1"/>
      </w:pPr>
      <w:r w:rsidRPr="00685582">
        <w:t>EN DROIT</w:t>
      </w:r>
    </w:p>
    <w:p w:rsidR="00EC6427" w:rsidRPr="00685582" w:rsidRDefault="00EC6427">
      <w:pPr>
        <w:pStyle w:val="ECHRHeading1"/>
      </w:pPr>
      <w:r w:rsidRPr="00685582">
        <w:t>I.  SUR LA VIOLATION ALLÉGUÉE DE L</w:t>
      </w:r>
      <w:r w:rsidR="00AE1D81">
        <w:t>’</w:t>
      </w:r>
      <w:r w:rsidRPr="00685582">
        <w:t xml:space="preserve">ARTICLE </w:t>
      </w:r>
      <w:r w:rsidR="0018449E">
        <w:t>6 § 1</w:t>
      </w:r>
      <w:r w:rsidRPr="00685582">
        <w:t xml:space="preserve"> DE LA CONVENTION</w:t>
      </w:r>
    </w:p>
    <w:p w:rsidR="0018449E" w:rsidRDefault="00F44484" w:rsidP="0018449E">
      <w:pPr>
        <w:pStyle w:val="ECHRPara"/>
      </w:pPr>
      <w:r>
        <w:fldChar w:fldCharType="begin"/>
      </w:r>
      <w:r>
        <w:instrText xml:space="preserve"> </w:instrText>
      </w:r>
      <w:r>
        <w:instrText xml:space="preserve">SEQ level0 \*arabic </w:instrText>
      </w:r>
      <w:r>
        <w:fldChar w:fldCharType="separate"/>
      </w:r>
      <w:r>
        <w:rPr>
          <w:noProof/>
        </w:rPr>
        <w:t>17</w:t>
      </w:r>
      <w:r>
        <w:rPr>
          <w:noProof/>
        </w:rPr>
        <w:fldChar w:fldCharType="end"/>
      </w:r>
      <w:r w:rsidR="00EC6427" w:rsidRPr="00685582">
        <w:t>.  </w:t>
      </w:r>
      <w:r w:rsidR="0018449E">
        <w:t>L</w:t>
      </w:r>
      <w:r w:rsidR="0018449E" w:rsidRPr="00AB446A">
        <w:t xml:space="preserve">e requérant </w:t>
      </w:r>
      <w:r w:rsidR="0018449E">
        <w:t xml:space="preserve">allègue que la Cour de cassation a ignoré sa demande de poser une question préjudicielle à la </w:t>
      </w:r>
      <w:r w:rsidR="0078054A">
        <w:rPr>
          <w:rStyle w:val="sb8d990e2"/>
        </w:rPr>
        <w:t>CJUE</w:t>
      </w:r>
      <w:r w:rsidR="0018449E">
        <w:t xml:space="preserve"> quant à l</w:t>
      </w:r>
      <w:r w:rsidR="00AE1D81">
        <w:t>’</w:t>
      </w:r>
      <w:r w:rsidR="0018449E">
        <w:t>interprétation de l</w:t>
      </w:r>
      <w:r w:rsidR="00AE1D81">
        <w:t>’</w:t>
      </w:r>
      <w:r w:rsidR="0018449E">
        <w:t xml:space="preserve">Accord </w:t>
      </w:r>
      <w:r w:rsidR="00FE49FA">
        <w:t>euro</w:t>
      </w:r>
      <w:r w:rsidR="0018449E">
        <w:t>-méditerranéen</w:t>
      </w:r>
      <w:r w:rsidR="0018449E" w:rsidRPr="00AB446A">
        <w:t>.</w:t>
      </w:r>
    </w:p>
    <w:p w:rsidR="0018449E" w:rsidRDefault="0018449E" w:rsidP="0018449E">
      <w:pPr>
        <w:pStyle w:val="ECHRPara"/>
      </w:pPr>
      <w:r>
        <w:t>Il invoque l</w:t>
      </w:r>
      <w:r w:rsidR="00AE1D81">
        <w:t>’</w:t>
      </w:r>
      <w:r>
        <w:t>article 6 § 1 de la Convention, qui, en ses parties pertinentes, est ainsi libellé :</w:t>
      </w:r>
    </w:p>
    <w:p w:rsidR="0018449E" w:rsidRDefault="0018449E" w:rsidP="0018449E">
      <w:pPr>
        <w:pStyle w:val="ECHRParaQuote"/>
      </w:pPr>
      <w:r>
        <w:t>« Toute personne a droit à ce que sa cause soit entendue équitablement (...) par un tribunal (...), qui décidera (...) des contestations sur ses droits et obligations de caractère civil (...). »</w:t>
      </w:r>
    </w:p>
    <w:p w:rsidR="00EC6427" w:rsidRPr="00685582" w:rsidRDefault="00F44484">
      <w:pPr>
        <w:pStyle w:val="ECHRPara"/>
      </w:pPr>
      <w:r>
        <w:fldChar w:fldCharType="begin"/>
      </w:r>
      <w:r>
        <w:instrText xml:space="preserve"> SEQ level0 \*arabic </w:instrText>
      </w:r>
      <w:r>
        <w:fldChar w:fldCharType="separate"/>
      </w:r>
      <w:r>
        <w:rPr>
          <w:noProof/>
        </w:rPr>
        <w:t>18</w:t>
      </w:r>
      <w:r>
        <w:rPr>
          <w:noProof/>
        </w:rPr>
        <w:fldChar w:fldCharType="end"/>
      </w:r>
      <w:r w:rsidR="00EC6427" w:rsidRPr="00685582">
        <w:t xml:space="preserve">.  Le Gouvernement </w:t>
      </w:r>
      <w:r w:rsidR="00AC203B">
        <w:t>combat</w:t>
      </w:r>
      <w:r w:rsidR="00EC6427" w:rsidRPr="00685582">
        <w:t xml:space="preserve"> </w:t>
      </w:r>
      <w:r w:rsidR="00AC203B">
        <w:t>la</w:t>
      </w:r>
      <w:r w:rsidR="00AC203B" w:rsidRPr="00685582">
        <w:t xml:space="preserve"> </w:t>
      </w:r>
      <w:r w:rsidR="00EC6427" w:rsidRPr="00685582">
        <w:t>thèse</w:t>
      </w:r>
      <w:r w:rsidR="00AC203B">
        <w:t xml:space="preserve"> du requérant</w:t>
      </w:r>
      <w:r w:rsidR="00EC6427" w:rsidRPr="00685582">
        <w:t>.</w:t>
      </w:r>
    </w:p>
    <w:p w:rsidR="00EC6427" w:rsidRPr="00685582" w:rsidRDefault="00EC6427" w:rsidP="00B33C50">
      <w:pPr>
        <w:pStyle w:val="ECHRHeading2"/>
        <w:outlineLvl w:val="0"/>
      </w:pPr>
      <w:r w:rsidRPr="00685582">
        <w:t>A.  Sur la recevabilité</w:t>
      </w:r>
    </w:p>
    <w:p w:rsidR="0018449E" w:rsidRDefault="0018449E" w:rsidP="0018449E">
      <w:pPr>
        <w:pStyle w:val="ECHRHeading3"/>
      </w:pPr>
      <w:r>
        <w:t>1.  L</w:t>
      </w:r>
      <w:r w:rsidR="00AE1D81">
        <w:t>’</w:t>
      </w:r>
      <w:r>
        <w:t>exception du Gouvernement tirée de la tardiveté de la requête</w:t>
      </w:r>
    </w:p>
    <w:p w:rsidR="0018449E" w:rsidRDefault="00F44484" w:rsidP="00A26256">
      <w:pPr>
        <w:pStyle w:val="ECHRPara"/>
      </w:pPr>
      <w:r>
        <w:fldChar w:fldCharType="begin"/>
      </w:r>
      <w:r>
        <w:instrText xml:space="preserve"> SEQ level0 \*arabic </w:instrText>
      </w:r>
      <w:r>
        <w:fldChar w:fldCharType="separate"/>
      </w:r>
      <w:r>
        <w:rPr>
          <w:noProof/>
        </w:rPr>
        <w:t>19</w:t>
      </w:r>
      <w:r>
        <w:rPr>
          <w:noProof/>
        </w:rPr>
        <w:fldChar w:fldCharType="end"/>
      </w:r>
      <w:r w:rsidR="0018449E">
        <w:t>.  </w:t>
      </w:r>
      <w:r w:rsidR="0018449E" w:rsidRPr="008D4ECE">
        <w:rPr>
          <w:rStyle w:val="JuParaCar"/>
        </w:rPr>
        <w:t>Le Gouvernement excipe tout d</w:t>
      </w:r>
      <w:r w:rsidR="00AE1D81">
        <w:rPr>
          <w:rStyle w:val="JuParaCar"/>
        </w:rPr>
        <w:t>’</w:t>
      </w:r>
      <w:r w:rsidR="0018449E" w:rsidRPr="008D4ECE">
        <w:rPr>
          <w:rStyle w:val="JuParaCar"/>
        </w:rPr>
        <w:t xml:space="preserve">abord de la tardiveté de la requête, observant que celle-ci </w:t>
      </w:r>
      <w:r w:rsidR="00AC203B" w:rsidRPr="008D4ECE">
        <w:rPr>
          <w:rStyle w:val="JuParaCar"/>
        </w:rPr>
        <w:t>n</w:t>
      </w:r>
      <w:r w:rsidR="00AE1D81">
        <w:rPr>
          <w:rStyle w:val="JuParaCar"/>
        </w:rPr>
        <w:t>’</w:t>
      </w:r>
      <w:r w:rsidR="0018449E" w:rsidRPr="008D4ECE">
        <w:rPr>
          <w:rStyle w:val="JuParaCar"/>
        </w:rPr>
        <w:t>aurait été introduite</w:t>
      </w:r>
      <w:r w:rsidR="00AC203B" w:rsidRPr="008D4ECE">
        <w:rPr>
          <w:rStyle w:val="JuParaCar"/>
        </w:rPr>
        <w:t xml:space="preserve"> que</w:t>
      </w:r>
      <w:r w:rsidR="0018449E" w:rsidRPr="008D4ECE">
        <w:rPr>
          <w:rStyle w:val="JuParaCar"/>
        </w:rPr>
        <w:t xml:space="preserve"> le 2 avril 2009, alors que l</w:t>
      </w:r>
      <w:r w:rsidR="00AE1D81">
        <w:rPr>
          <w:rStyle w:val="JuParaCar"/>
        </w:rPr>
        <w:t>’</w:t>
      </w:r>
      <w:r w:rsidR="0018449E" w:rsidRPr="008D4ECE">
        <w:rPr>
          <w:rStyle w:val="JuParaCar"/>
        </w:rPr>
        <w:t xml:space="preserve">arrêt de la Cour de cassation a été déposé au greffe le 29 septembre 2008 (paragraphe </w:t>
      </w:r>
      <w:r w:rsidR="00354002" w:rsidRPr="008D4ECE">
        <w:rPr>
          <w:rStyle w:val="JuParaCar"/>
        </w:rPr>
        <w:t>13</w:t>
      </w:r>
      <w:r w:rsidR="0018449E" w:rsidRPr="008D4ECE">
        <w:rPr>
          <w:rStyle w:val="JuParaCar"/>
        </w:rPr>
        <w:t xml:space="preserve"> ci-dessus).</w:t>
      </w:r>
    </w:p>
    <w:p w:rsidR="0018449E" w:rsidRDefault="00F44484" w:rsidP="0018449E">
      <w:pPr>
        <w:pStyle w:val="ECHRPara"/>
      </w:pPr>
      <w:r>
        <w:fldChar w:fldCharType="begin"/>
      </w:r>
      <w:r>
        <w:instrText xml:space="preserve"> SEQ level0 \*arabic </w:instrText>
      </w:r>
      <w:r>
        <w:fldChar w:fldCharType="separate"/>
      </w:r>
      <w:r>
        <w:rPr>
          <w:noProof/>
        </w:rPr>
        <w:t>20</w:t>
      </w:r>
      <w:r>
        <w:rPr>
          <w:noProof/>
        </w:rPr>
        <w:fldChar w:fldCharType="end"/>
      </w:r>
      <w:r w:rsidR="0018449E">
        <w:t xml:space="preserve">.  Le requérant </w:t>
      </w:r>
      <w:r w:rsidR="00AC203B">
        <w:t xml:space="preserve">rétorque </w:t>
      </w:r>
      <w:r w:rsidR="0018449E">
        <w:t xml:space="preserve">que sa requête a été introduite le 28 mars 2009, date à laquelle il en a envoyé une copie au greffe de la Cour par fax et par courrier. </w:t>
      </w:r>
      <w:r w:rsidR="00AC203B">
        <w:t xml:space="preserve">Il </w:t>
      </w:r>
      <w:r w:rsidR="009F28A8">
        <w:t>précise</w:t>
      </w:r>
      <w:r w:rsidR="00AC203B">
        <w:t xml:space="preserve"> que</w:t>
      </w:r>
      <w:r w:rsidR="0018449E">
        <w:t xml:space="preserve"> l</w:t>
      </w:r>
      <w:r w:rsidR="00AE1D81">
        <w:t>’</w:t>
      </w:r>
      <w:r w:rsidR="0018449E">
        <w:t xml:space="preserve">arrêt de la Cour de cassation </w:t>
      </w:r>
      <w:r w:rsidR="00AC203B">
        <w:t xml:space="preserve">ne lui a </w:t>
      </w:r>
      <w:r w:rsidR="0018449E">
        <w:t>été notifié</w:t>
      </w:r>
      <w:r w:rsidR="00AC203B">
        <w:t xml:space="preserve"> que</w:t>
      </w:r>
      <w:r w:rsidR="0018449E">
        <w:t xml:space="preserve"> le 2 octobre 2008</w:t>
      </w:r>
      <w:r w:rsidR="000A72EE">
        <w:t xml:space="preserve"> (paragraphe </w:t>
      </w:r>
      <w:r w:rsidR="00354002">
        <w:rPr>
          <w:noProof/>
        </w:rPr>
        <w:t>16</w:t>
      </w:r>
      <w:r w:rsidR="000A72EE">
        <w:t xml:space="preserve"> ci-dessus)</w:t>
      </w:r>
      <w:r w:rsidR="00AC203B">
        <w:t xml:space="preserve">. </w:t>
      </w:r>
      <w:r w:rsidR="009F28A8">
        <w:t>Or, c</w:t>
      </w:r>
      <w:r w:rsidR="00AE1D81">
        <w:t>’</w:t>
      </w:r>
      <w:r w:rsidR="00AC203B">
        <w:t>est à cette dernière</w:t>
      </w:r>
      <w:r w:rsidR="0018449E">
        <w:t xml:space="preserve"> date </w:t>
      </w:r>
      <w:r w:rsidR="00AC203B">
        <w:t>qu</w:t>
      </w:r>
      <w:r w:rsidR="00AE1D81">
        <w:t>’</w:t>
      </w:r>
      <w:r w:rsidR="0018449E">
        <w:t xml:space="preserve">il conviendrait </w:t>
      </w:r>
      <w:r w:rsidR="009F28A8">
        <w:t xml:space="preserve">selon lui </w:t>
      </w:r>
      <w:r w:rsidR="0018449E">
        <w:t>de fixer le point de départ du délai de six mois.</w:t>
      </w:r>
    </w:p>
    <w:p w:rsidR="00124A3F" w:rsidRDefault="00F44484" w:rsidP="0018449E">
      <w:pPr>
        <w:pStyle w:val="ECHRPara"/>
      </w:pPr>
      <w:r>
        <w:fldChar w:fldCharType="begin"/>
      </w:r>
      <w:r>
        <w:instrText xml:space="preserve"> SEQ level0 \*arabic </w:instrText>
      </w:r>
      <w:r>
        <w:fldChar w:fldCharType="separate"/>
      </w:r>
      <w:r>
        <w:rPr>
          <w:noProof/>
        </w:rPr>
        <w:t>21</w:t>
      </w:r>
      <w:r>
        <w:rPr>
          <w:noProof/>
        </w:rPr>
        <w:fldChar w:fldCharType="end"/>
      </w:r>
      <w:r w:rsidR="0018449E">
        <w:t>.  La Cour</w:t>
      </w:r>
      <w:r w:rsidR="00124A3F">
        <w:t xml:space="preserve"> note que le 28 mars 2009, le requérant a envoyé par fax au </w:t>
      </w:r>
      <w:r w:rsidR="002E4237">
        <w:t>g</w:t>
      </w:r>
      <w:r w:rsidR="00124A3F">
        <w:t>reffe, qui l</w:t>
      </w:r>
      <w:r w:rsidR="00AE1D81">
        <w:t>’</w:t>
      </w:r>
      <w:r w:rsidR="00124A3F">
        <w:t xml:space="preserve">a reçue le même jour, une copie du formulaire de requête dûment rempli. Une autre copie a été envoyée par courrier et est parvenue au greffe de la Cour le 2 avril 2009. La requête doit donc être considérée comme ayant été introduite le 28 mars 2009. Dès lors, à supposer même que, comme le </w:t>
      </w:r>
      <w:r w:rsidR="009F28A8">
        <w:t xml:space="preserve">voudrait </w:t>
      </w:r>
      <w:r w:rsidR="00124A3F">
        <w:t>le Gouvernement, le point de départ du délai de six</w:t>
      </w:r>
      <w:r w:rsidR="00A26256">
        <w:t> </w:t>
      </w:r>
      <w:r w:rsidR="00124A3F">
        <w:t>mois prévu à l</w:t>
      </w:r>
      <w:r w:rsidR="00AE1D81">
        <w:t>’</w:t>
      </w:r>
      <w:r w:rsidR="00124A3F">
        <w:t xml:space="preserve">article 35 § 1 de la Convention doive être fixé au 29 septembre 2008, ce délai </w:t>
      </w:r>
      <w:r w:rsidR="009F28A8">
        <w:t>a de toute manière</w:t>
      </w:r>
      <w:r w:rsidR="00124A3F">
        <w:t xml:space="preserve"> été respecté.</w:t>
      </w:r>
    </w:p>
    <w:p w:rsidR="0018449E" w:rsidRDefault="00F44484" w:rsidP="0018449E">
      <w:pPr>
        <w:pStyle w:val="ECHRPara"/>
      </w:pPr>
      <w:r>
        <w:fldChar w:fldCharType="begin"/>
      </w:r>
      <w:r>
        <w:instrText xml:space="preserve"> SEQ level0 \*arabic </w:instrText>
      </w:r>
      <w:r>
        <w:fldChar w:fldCharType="separate"/>
      </w:r>
      <w:r>
        <w:rPr>
          <w:noProof/>
        </w:rPr>
        <w:t>22</w:t>
      </w:r>
      <w:r>
        <w:rPr>
          <w:noProof/>
        </w:rPr>
        <w:fldChar w:fldCharType="end"/>
      </w:r>
      <w:r w:rsidR="00124A3F">
        <w:t>.  Il s</w:t>
      </w:r>
      <w:r w:rsidR="00AE1D81">
        <w:t>’</w:t>
      </w:r>
      <w:r w:rsidR="00124A3F">
        <w:t>ensuit que l</w:t>
      </w:r>
      <w:r w:rsidR="00AE1D81">
        <w:t>’</w:t>
      </w:r>
      <w:r w:rsidR="00124A3F">
        <w:t xml:space="preserve">exception de tardiveté du Gouvernement ne </w:t>
      </w:r>
      <w:r w:rsidR="009F28A8">
        <w:t xml:space="preserve">peut </w:t>
      </w:r>
      <w:r w:rsidR="00124A3F">
        <w:t>être retenue.</w:t>
      </w:r>
    </w:p>
    <w:p w:rsidR="0018449E" w:rsidRDefault="0018449E" w:rsidP="0018449E">
      <w:pPr>
        <w:pStyle w:val="ECHRHeading3"/>
      </w:pPr>
      <w:r>
        <w:t>2.  L</w:t>
      </w:r>
      <w:r w:rsidR="00AE1D81">
        <w:t>’</w:t>
      </w:r>
      <w:r>
        <w:t>exception du Gouvernement tirée du non-épuisement des voies de recours internes</w:t>
      </w:r>
    </w:p>
    <w:p w:rsidR="00C8243A" w:rsidRDefault="00F44484" w:rsidP="00C8243A">
      <w:pPr>
        <w:pStyle w:val="ECHRPara"/>
        <w:rPr>
          <w:rStyle w:val="sb8d990e2"/>
        </w:rPr>
      </w:pPr>
      <w:r>
        <w:fldChar w:fldCharType="begin"/>
      </w:r>
      <w:r>
        <w:instrText xml:space="preserve"> SEQ level0 \*arabic </w:instrText>
      </w:r>
      <w:r>
        <w:fldChar w:fldCharType="separate"/>
      </w:r>
      <w:r>
        <w:rPr>
          <w:noProof/>
        </w:rPr>
        <w:t>23</w:t>
      </w:r>
      <w:r>
        <w:rPr>
          <w:noProof/>
        </w:rPr>
        <w:fldChar w:fldCharType="end"/>
      </w:r>
      <w:r w:rsidR="0018449E">
        <w:t>.  Dans ses observations complémentaires</w:t>
      </w:r>
      <w:r w:rsidR="000A72EE">
        <w:t xml:space="preserve"> </w:t>
      </w:r>
      <w:r w:rsidR="0018449E">
        <w:t xml:space="preserve">du 17 janvier 2014, le Gouvernement </w:t>
      </w:r>
      <w:r w:rsidR="00843F37">
        <w:t xml:space="preserve">excipe </w:t>
      </w:r>
      <w:r w:rsidR="0018449E">
        <w:t xml:space="preserve">pour la première fois </w:t>
      </w:r>
      <w:r w:rsidR="00843F37">
        <w:t>du</w:t>
      </w:r>
      <w:r w:rsidR="0018449E">
        <w:t xml:space="preserve"> non-épuisement des voies de recours internes. </w:t>
      </w:r>
      <w:r w:rsidR="00843F37">
        <w:t>Si</w:t>
      </w:r>
      <w:r w:rsidR="0018449E">
        <w:t xml:space="preserve"> la Cour de cassation a mal appliqué la théorie de l</w:t>
      </w:r>
      <w:r w:rsidR="00AE1D81">
        <w:t>’</w:t>
      </w:r>
      <w:r w:rsidR="0018449E">
        <w:t xml:space="preserve">acte clair et manqué à son obligation de poser une question préjudicielle à la </w:t>
      </w:r>
      <w:r w:rsidR="0078054A">
        <w:rPr>
          <w:rStyle w:val="sb8d990e2"/>
        </w:rPr>
        <w:t>CJUE</w:t>
      </w:r>
      <w:r w:rsidR="000A72EE">
        <w:rPr>
          <w:rStyle w:val="sb8d990e2"/>
        </w:rPr>
        <w:t>,</w:t>
      </w:r>
      <w:r w:rsidR="0018449E">
        <w:t xml:space="preserve"> le requérant p</w:t>
      </w:r>
      <w:r w:rsidR="000A72EE">
        <w:t>eut</w:t>
      </w:r>
      <w:r w:rsidR="0018449E">
        <w:t xml:space="preserve"> </w:t>
      </w:r>
      <w:r w:rsidR="007544FE">
        <w:t xml:space="preserve">selon lui </w:t>
      </w:r>
      <w:r w:rsidR="0018449E">
        <w:t>introduire une action en responsabilité extracontractuelle contre l</w:t>
      </w:r>
      <w:r w:rsidR="00AE1D81">
        <w:t>’</w:t>
      </w:r>
      <w:r w:rsidR="0018449E">
        <w:t xml:space="preserve">État devant le juge civil, </w:t>
      </w:r>
      <w:r w:rsidR="00A9364D">
        <w:t>comme y invitent les</w:t>
      </w:r>
      <w:r w:rsidR="0018449E">
        <w:t xml:space="preserve"> arrêts de la </w:t>
      </w:r>
      <w:r w:rsidR="0078054A">
        <w:rPr>
          <w:rStyle w:val="sb8d990e2"/>
        </w:rPr>
        <w:t>CJUE</w:t>
      </w:r>
      <w:r w:rsidR="0018449E">
        <w:rPr>
          <w:rStyle w:val="sb8d990e2"/>
        </w:rPr>
        <w:t xml:space="preserve"> </w:t>
      </w:r>
      <w:r w:rsidR="0018449E">
        <w:rPr>
          <w:rStyle w:val="sb8d990e2"/>
          <w:i/>
        </w:rPr>
        <w:t xml:space="preserve">Kobler </w:t>
      </w:r>
      <w:r w:rsidR="0018449E">
        <w:rPr>
          <w:rStyle w:val="sb8d990e2"/>
        </w:rPr>
        <w:t xml:space="preserve">(30 septembre 2003, affaire C-224/01) et </w:t>
      </w:r>
      <w:r w:rsidR="0018449E">
        <w:rPr>
          <w:rStyle w:val="sb8d990e2"/>
          <w:i/>
        </w:rPr>
        <w:t xml:space="preserve">Traghetti del Mediterraneo </w:t>
      </w:r>
      <w:r w:rsidR="0018449E">
        <w:rPr>
          <w:rStyle w:val="sb8d990e2"/>
        </w:rPr>
        <w:t>(13 juin 2006, affaire C-173/03). De telles actions seraient couramment examinées par les juges internes.</w:t>
      </w:r>
    </w:p>
    <w:p w:rsidR="0018449E" w:rsidRPr="00C8243A" w:rsidRDefault="00F44484" w:rsidP="00C8243A">
      <w:pPr>
        <w:pStyle w:val="ECHRPara"/>
      </w:pPr>
      <w:r>
        <w:fldChar w:fldCharType="begin"/>
      </w:r>
      <w:r>
        <w:instrText xml:space="preserve"> SEQ level0 \*arabic </w:instrText>
      </w:r>
      <w:r>
        <w:fldChar w:fldCharType="separate"/>
      </w:r>
      <w:r>
        <w:rPr>
          <w:noProof/>
        </w:rPr>
        <w:t>24</w:t>
      </w:r>
      <w:r>
        <w:rPr>
          <w:noProof/>
        </w:rPr>
        <w:fldChar w:fldCharType="end"/>
      </w:r>
      <w:r w:rsidR="00124A3F">
        <w:t>.  </w:t>
      </w:r>
      <w:r w:rsidR="00124A3F" w:rsidRPr="00124A3F">
        <w:rPr>
          <w:rStyle w:val="sb8d990e2"/>
        </w:rPr>
        <w:t>La Cour rappelle qu</w:t>
      </w:r>
      <w:r w:rsidR="00AE1D81">
        <w:rPr>
          <w:rStyle w:val="sb8d990e2"/>
        </w:rPr>
        <w:t>’</w:t>
      </w:r>
      <w:r w:rsidR="00124A3F" w:rsidRPr="00124A3F">
        <w:rPr>
          <w:rStyle w:val="sb8d990e2"/>
        </w:rPr>
        <w:t>aux termes de l</w:t>
      </w:r>
      <w:r w:rsidR="00AE1D81">
        <w:rPr>
          <w:rStyle w:val="sb8d990e2"/>
        </w:rPr>
        <w:t>’</w:t>
      </w:r>
      <w:r w:rsidR="00124A3F" w:rsidRPr="00124A3F">
        <w:rPr>
          <w:rStyle w:val="sb8d990e2"/>
        </w:rPr>
        <w:t>article 55 de son règlement, si la Partie contractante défenderesse entend soulever une exception d</w:t>
      </w:r>
      <w:r w:rsidR="00AE1D81">
        <w:rPr>
          <w:rStyle w:val="sb8d990e2"/>
        </w:rPr>
        <w:t>’</w:t>
      </w:r>
      <w:r w:rsidR="00124A3F" w:rsidRPr="00124A3F">
        <w:rPr>
          <w:rStyle w:val="sb8d990e2"/>
        </w:rPr>
        <w:t>irrecevabilité, elle doit l</w:t>
      </w:r>
      <w:r w:rsidR="00124A3F" w:rsidRPr="00C8243A">
        <w:rPr>
          <w:rStyle w:val="sb8d990e2"/>
          <w:szCs w:val="24"/>
        </w:rPr>
        <w:t xml:space="preserve">e </w:t>
      </w:r>
      <w:r w:rsidR="00C8243A" w:rsidRPr="00C8243A">
        <w:rPr>
          <w:szCs w:val="24"/>
        </w:rPr>
        <w:t>faire, pour autant que la nature de l</w:t>
      </w:r>
      <w:r w:rsidR="00AE1D81">
        <w:rPr>
          <w:szCs w:val="24"/>
        </w:rPr>
        <w:t>’</w:t>
      </w:r>
      <w:r w:rsidR="00C8243A" w:rsidRPr="00C8243A">
        <w:rPr>
          <w:szCs w:val="24"/>
        </w:rPr>
        <w:t xml:space="preserve">exception et les circonstances le permettent, </w:t>
      </w:r>
      <w:r w:rsidR="00124A3F" w:rsidRPr="00C8243A">
        <w:rPr>
          <w:rStyle w:val="sb8d990e2"/>
          <w:szCs w:val="24"/>
        </w:rPr>
        <w:t xml:space="preserve">dans </w:t>
      </w:r>
      <w:r w:rsidR="0023375B">
        <w:rPr>
          <w:rStyle w:val="sb8d990e2"/>
          <w:szCs w:val="24"/>
        </w:rPr>
        <w:t>ses</w:t>
      </w:r>
      <w:r w:rsidR="0023375B" w:rsidRPr="00C8243A">
        <w:rPr>
          <w:rStyle w:val="sb8d990e2"/>
          <w:szCs w:val="24"/>
        </w:rPr>
        <w:t xml:space="preserve"> </w:t>
      </w:r>
      <w:r w:rsidR="00124A3F" w:rsidRPr="00C8243A">
        <w:rPr>
          <w:rStyle w:val="sb8d990e2"/>
          <w:szCs w:val="24"/>
        </w:rPr>
        <w:t>observations écrites ou orales sur la recevabilité de la requê</w:t>
      </w:r>
      <w:r w:rsidR="00124A3F" w:rsidRPr="00124A3F">
        <w:rPr>
          <w:rStyle w:val="sb8d990e2"/>
        </w:rPr>
        <w:t>te (</w:t>
      </w:r>
      <w:r w:rsidR="00124A3F" w:rsidRPr="00124A3F">
        <w:rPr>
          <w:rStyle w:val="sb8d990e2"/>
          <w:i/>
        </w:rPr>
        <w:t xml:space="preserve">N.C. c. Italie </w:t>
      </w:r>
      <w:r w:rsidR="00124A3F" w:rsidRPr="00124A3F">
        <w:rPr>
          <w:rStyle w:val="sb8d990e2"/>
        </w:rPr>
        <w:t>[GC], n</w:t>
      </w:r>
      <w:r w:rsidR="00143C2E" w:rsidRPr="00143C2E">
        <w:rPr>
          <w:rStyle w:val="sb8d990e2"/>
          <w:vertAlign w:val="superscript"/>
        </w:rPr>
        <w:t>o</w:t>
      </w:r>
      <w:r w:rsidR="00124A3F">
        <w:rPr>
          <w:rStyle w:val="sb8d990e2"/>
        </w:rPr>
        <w:t> 24952/94</w:t>
      </w:r>
      <w:r w:rsidR="00124A3F" w:rsidRPr="00C8243A">
        <w:rPr>
          <w:rStyle w:val="sb8d990e2"/>
        </w:rPr>
        <w:t>, § 44, CEDH 2002-X).</w:t>
      </w:r>
      <w:r w:rsidR="00C8243A">
        <w:rPr>
          <w:rStyle w:val="sb8d990e2"/>
        </w:rPr>
        <w:t xml:space="preserve"> </w:t>
      </w:r>
      <w:r w:rsidR="0023375B">
        <w:rPr>
          <w:rStyle w:val="sb8d990e2"/>
        </w:rPr>
        <w:t xml:space="preserve">En </w:t>
      </w:r>
      <w:r w:rsidR="00C8243A">
        <w:rPr>
          <w:rStyle w:val="sb8d990e2"/>
        </w:rPr>
        <w:t>l</w:t>
      </w:r>
      <w:r w:rsidR="00AE1D81">
        <w:rPr>
          <w:rStyle w:val="sb8d990e2"/>
        </w:rPr>
        <w:t>’</w:t>
      </w:r>
      <w:r w:rsidR="00C8243A">
        <w:rPr>
          <w:rStyle w:val="sb8d990e2"/>
        </w:rPr>
        <w:t>espèce, le Gouvernement n</w:t>
      </w:r>
      <w:r w:rsidR="00AE1D81">
        <w:rPr>
          <w:rStyle w:val="sb8d990e2"/>
        </w:rPr>
        <w:t>’</w:t>
      </w:r>
      <w:r w:rsidR="00D96EB6">
        <w:rPr>
          <w:rStyle w:val="sb8d990e2"/>
        </w:rPr>
        <w:t xml:space="preserve">a </w:t>
      </w:r>
      <w:r w:rsidR="0023375B">
        <w:rPr>
          <w:rStyle w:val="sb8d990e2"/>
        </w:rPr>
        <w:t>soulev</w:t>
      </w:r>
      <w:r w:rsidR="00D96EB6">
        <w:rPr>
          <w:rStyle w:val="sb8d990e2"/>
        </w:rPr>
        <w:t>é</w:t>
      </w:r>
      <w:r w:rsidR="0023375B">
        <w:rPr>
          <w:rStyle w:val="sb8d990e2"/>
        </w:rPr>
        <w:t xml:space="preserve"> aucune </w:t>
      </w:r>
      <w:r w:rsidR="00AB1C94">
        <w:rPr>
          <w:rStyle w:val="sb8d990e2"/>
        </w:rPr>
        <w:t xml:space="preserve">exception de </w:t>
      </w:r>
      <w:r w:rsidR="00C8243A">
        <w:rPr>
          <w:rStyle w:val="sb8d990e2"/>
        </w:rPr>
        <w:t>non-épuisement des voies de recours internes dans ses observations du 9</w:t>
      </w:r>
      <w:r w:rsidR="00A26256">
        <w:rPr>
          <w:rStyle w:val="sb8d990e2"/>
        </w:rPr>
        <w:t> </w:t>
      </w:r>
      <w:r w:rsidR="00C8243A">
        <w:rPr>
          <w:rStyle w:val="sb8d990e2"/>
        </w:rPr>
        <w:t>octobre 2013 sur la recevabilité et le fond</w:t>
      </w:r>
      <w:r w:rsidR="000739D2">
        <w:rPr>
          <w:rStyle w:val="sb8d990e2"/>
        </w:rPr>
        <w:t xml:space="preserve"> (dans lesquelles, bien au contraire, </w:t>
      </w:r>
      <w:r w:rsidR="00D96EB6">
        <w:rPr>
          <w:rStyle w:val="sb8d990e2"/>
        </w:rPr>
        <w:t xml:space="preserve">il </w:t>
      </w:r>
      <w:r w:rsidR="000739D2">
        <w:rPr>
          <w:rStyle w:val="sb8d990e2"/>
        </w:rPr>
        <w:t>indiqu</w:t>
      </w:r>
      <w:r w:rsidR="00D96EB6">
        <w:rPr>
          <w:rStyle w:val="sb8d990e2"/>
        </w:rPr>
        <w:t>ait</w:t>
      </w:r>
      <w:r w:rsidR="000739D2">
        <w:rPr>
          <w:rStyle w:val="sb8d990e2"/>
        </w:rPr>
        <w:t xml:space="preserve"> que l</w:t>
      </w:r>
      <w:r w:rsidR="00AE1D81">
        <w:rPr>
          <w:rStyle w:val="sb8d990e2"/>
        </w:rPr>
        <w:t>’</w:t>
      </w:r>
      <w:r w:rsidR="000739D2">
        <w:rPr>
          <w:rStyle w:val="sb8d990e2"/>
        </w:rPr>
        <w:t>arrêt de la Cour de cassation « constitue l</w:t>
      </w:r>
      <w:r w:rsidR="00AE1D81">
        <w:rPr>
          <w:rStyle w:val="sb8d990e2"/>
        </w:rPr>
        <w:t>’</w:t>
      </w:r>
      <w:r w:rsidR="000739D2">
        <w:rPr>
          <w:rStyle w:val="sb8d990e2"/>
        </w:rPr>
        <w:t>épuisement des voies internes »)</w:t>
      </w:r>
      <w:r w:rsidR="00C8243A">
        <w:rPr>
          <w:rStyle w:val="sb8d990e2"/>
        </w:rPr>
        <w:t xml:space="preserve">, </w:t>
      </w:r>
      <w:r w:rsidR="00D96EB6">
        <w:rPr>
          <w:rStyle w:val="sb8d990e2"/>
        </w:rPr>
        <w:t>la</w:t>
      </w:r>
      <w:r w:rsidR="00C8243A">
        <w:rPr>
          <w:rStyle w:val="sb8d990e2"/>
        </w:rPr>
        <w:t xml:space="preserve"> question de la non-introduction </w:t>
      </w:r>
      <w:r w:rsidR="00D96EB6">
        <w:rPr>
          <w:rStyle w:val="sb8d990e2"/>
        </w:rPr>
        <w:t xml:space="preserve">par le requérant </w:t>
      </w:r>
      <w:r w:rsidR="00C8243A">
        <w:rPr>
          <w:rStyle w:val="sb8d990e2"/>
        </w:rPr>
        <w:t>d</w:t>
      </w:r>
      <w:r w:rsidR="00AE1D81">
        <w:rPr>
          <w:rStyle w:val="sb8d990e2"/>
        </w:rPr>
        <w:t>’</w:t>
      </w:r>
      <w:r w:rsidR="00C8243A">
        <w:t>une action en responsabilité extracontractuelle contre l</w:t>
      </w:r>
      <w:r w:rsidR="00AE1D81">
        <w:t>’</w:t>
      </w:r>
      <w:r w:rsidR="00C8243A">
        <w:t xml:space="preserve">État </w:t>
      </w:r>
      <w:r w:rsidR="00D96EB6">
        <w:t>n</w:t>
      </w:r>
      <w:r w:rsidR="00AE1D81">
        <w:t>’</w:t>
      </w:r>
      <w:r w:rsidR="00D96EB6">
        <w:t xml:space="preserve">étant abordée pour la première fois que </w:t>
      </w:r>
      <w:r w:rsidR="00C8243A">
        <w:t>dans ses observations complémentaires</w:t>
      </w:r>
      <w:r w:rsidR="00B042DE">
        <w:t xml:space="preserve"> et sur la satisfaction équitable. Le Gouvernement n</w:t>
      </w:r>
      <w:r w:rsidR="00D96EB6">
        <w:t xml:space="preserve">e fournit </w:t>
      </w:r>
      <w:r w:rsidR="00B042DE">
        <w:t xml:space="preserve">aucune </w:t>
      </w:r>
      <w:r w:rsidR="00D96EB6">
        <w:t xml:space="preserve">explication à cet atermoiement </w:t>
      </w:r>
      <w:r w:rsidR="00B042DE">
        <w:t xml:space="preserve">et la Cour ne relève aucune circonstance exceptionnelle de nature à </w:t>
      </w:r>
      <w:r w:rsidR="00D96EB6">
        <w:t>l</w:t>
      </w:r>
      <w:r w:rsidR="00AE1D81">
        <w:t>’</w:t>
      </w:r>
      <w:r w:rsidR="00B042DE">
        <w:t xml:space="preserve">exonérer de son obligation de soulever </w:t>
      </w:r>
      <w:r w:rsidR="00D96EB6">
        <w:t xml:space="preserve">toute </w:t>
      </w:r>
      <w:r w:rsidR="00B042DE">
        <w:t>exception d</w:t>
      </w:r>
      <w:r w:rsidR="00AE1D81">
        <w:t>’</w:t>
      </w:r>
      <w:r w:rsidR="00B042DE">
        <w:t>irrecevabilité en temps utile</w:t>
      </w:r>
      <w:r w:rsidR="00C8243A">
        <w:t>.</w:t>
      </w:r>
    </w:p>
    <w:p w:rsidR="00A95CCF" w:rsidRDefault="00F44484" w:rsidP="0018449E">
      <w:pPr>
        <w:pStyle w:val="ECHRPara"/>
      </w:pPr>
      <w:r>
        <w:fldChar w:fldCharType="begin"/>
      </w:r>
      <w:r>
        <w:instrText xml:space="preserve"> SEQ level0 \*arabic </w:instrText>
      </w:r>
      <w:r>
        <w:fldChar w:fldCharType="separate"/>
      </w:r>
      <w:r>
        <w:rPr>
          <w:noProof/>
        </w:rPr>
        <w:t>25</w:t>
      </w:r>
      <w:r>
        <w:rPr>
          <w:noProof/>
        </w:rPr>
        <w:fldChar w:fldCharType="end"/>
      </w:r>
      <w:r w:rsidR="00B042DE">
        <w:t>.  Il s</w:t>
      </w:r>
      <w:r w:rsidR="00AE1D81">
        <w:t>’</w:t>
      </w:r>
      <w:r w:rsidR="00B042DE">
        <w:t>ensuit que le Gouvernement est forclos à exciper du non-épuisement des voies de recours internes.</w:t>
      </w:r>
    </w:p>
    <w:p w:rsidR="00240E1A" w:rsidRPr="0018449E" w:rsidRDefault="00240E1A" w:rsidP="00240E1A">
      <w:pPr>
        <w:pStyle w:val="ECHRHeading3"/>
      </w:pPr>
      <w:r>
        <w:t>3.  Autres motifs d</w:t>
      </w:r>
      <w:r w:rsidR="00AE1D81">
        <w:t>’</w:t>
      </w:r>
      <w:r>
        <w:t>irrecevabilité</w:t>
      </w:r>
    </w:p>
    <w:p w:rsidR="00EC6427" w:rsidRPr="00685582" w:rsidRDefault="00F44484" w:rsidP="007E34C8">
      <w:pPr>
        <w:pStyle w:val="ECHRPara"/>
      </w:pPr>
      <w:r>
        <w:fldChar w:fldCharType="begin"/>
      </w:r>
      <w:r>
        <w:instrText xml:space="preserve"> SEQ level0 \*arabic </w:instrText>
      </w:r>
      <w:r>
        <w:fldChar w:fldCharType="separate"/>
      </w:r>
      <w:r>
        <w:rPr>
          <w:noProof/>
        </w:rPr>
        <w:t>26</w:t>
      </w:r>
      <w:r>
        <w:rPr>
          <w:noProof/>
        </w:rPr>
        <w:fldChar w:fldCharType="end"/>
      </w:r>
      <w:r w:rsidR="00EC6427" w:rsidRPr="00685582">
        <w:t xml:space="preserve">.  La Cour constate que </w:t>
      </w:r>
      <w:r w:rsidR="00F439BB">
        <w:rPr>
          <w:rStyle w:val="JuParaCar"/>
        </w:rPr>
        <w:t>l</w:t>
      </w:r>
      <w:r w:rsidR="00CB4956" w:rsidRPr="00685582">
        <w:rPr>
          <w:rStyle w:val="JuParaCar"/>
        </w:rPr>
        <w:t xml:space="preserve">e </w:t>
      </w:r>
      <w:r w:rsidR="00F439BB">
        <w:rPr>
          <w:rStyle w:val="JuParaCar"/>
        </w:rPr>
        <w:t xml:space="preserve">présent </w:t>
      </w:r>
      <w:r w:rsidR="00CB4956" w:rsidRPr="00685582">
        <w:rPr>
          <w:rStyle w:val="JuParaCar"/>
        </w:rPr>
        <w:t xml:space="preserve">grief </w:t>
      </w:r>
      <w:r w:rsidR="00EC6427" w:rsidRPr="00685582">
        <w:t>n</w:t>
      </w:r>
      <w:r w:rsidR="00AE1D81">
        <w:t>’</w:t>
      </w:r>
      <w:r w:rsidR="00EC6427" w:rsidRPr="00685582">
        <w:t>est pas manifestement mal fondé au sens de l</w:t>
      </w:r>
      <w:r w:rsidR="00AE1D81">
        <w:t>’</w:t>
      </w:r>
      <w:r w:rsidR="00EC6427" w:rsidRPr="00685582">
        <w:t xml:space="preserve">article </w:t>
      </w:r>
      <w:r w:rsidR="006716C1" w:rsidRPr="00685582">
        <w:t>35 § 3 a)</w:t>
      </w:r>
      <w:r w:rsidR="00EC6427" w:rsidRPr="00685582">
        <w:t xml:space="preserve"> de la Convention.</w:t>
      </w:r>
      <w:r w:rsidR="007357D0" w:rsidRPr="00685582">
        <w:t xml:space="preserve"> La Cour relève par ailleurs qu</w:t>
      </w:r>
      <w:r w:rsidR="00AE1D81">
        <w:t>’</w:t>
      </w:r>
      <w:r w:rsidR="007357D0" w:rsidRPr="00685582">
        <w:t>il</w:t>
      </w:r>
      <w:r w:rsidR="00EC6427" w:rsidRPr="00685582">
        <w:t xml:space="preserve"> ne se heurte à aucun autre motif d</w:t>
      </w:r>
      <w:r w:rsidR="00AE1D81">
        <w:t>’</w:t>
      </w:r>
      <w:r w:rsidR="00EC6427" w:rsidRPr="00685582">
        <w:t>irrecevabilité. Il convient donc de le déclarer recevable.</w:t>
      </w:r>
    </w:p>
    <w:p w:rsidR="00EC6427" w:rsidRPr="00685582" w:rsidRDefault="00EC6427" w:rsidP="00B33C50">
      <w:pPr>
        <w:pStyle w:val="ECHRHeading2"/>
        <w:outlineLvl w:val="0"/>
      </w:pPr>
      <w:r w:rsidRPr="00685582">
        <w:t>B.  Sur le fond</w:t>
      </w:r>
    </w:p>
    <w:p w:rsidR="00240E1A" w:rsidRDefault="00240E1A" w:rsidP="00240E1A">
      <w:pPr>
        <w:pStyle w:val="ECHRHeading3"/>
      </w:pPr>
      <w:r>
        <w:t>1.  Arguments des parties</w:t>
      </w:r>
    </w:p>
    <w:p w:rsidR="00240E1A" w:rsidRDefault="00240E1A" w:rsidP="00240E1A">
      <w:pPr>
        <w:pStyle w:val="ECHRHeading4"/>
      </w:pPr>
      <w:r>
        <w:t>a)  Le requérant</w:t>
      </w:r>
    </w:p>
    <w:p w:rsidR="00240E1A" w:rsidRDefault="00F44484" w:rsidP="00A26256">
      <w:pPr>
        <w:pStyle w:val="ECHRPara"/>
      </w:pPr>
      <w:r>
        <w:fldChar w:fldCharType="begin"/>
      </w:r>
      <w:r>
        <w:instrText xml:space="preserve"> SEQ level0 \*arabic </w:instrText>
      </w:r>
      <w:r>
        <w:fldChar w:fldCharType="separate"/>
      </w:r>
      <w:r>
        <w:rPr>
          <w:noProof/>
        </w:rPr>
        <w:t>27</w:t>
      </w:r>
      <w:r>
        <w:rPr>
          <w:noProof/>
        </w:rPr>
        <w:fldChar w:fldCharType="end"/>
      </w:r>
      <w:r w:rsidR="00240E1A">
        <w:t xml:space="preserve">.  Le requérant </w:t>
      </w:r>
      <w:r w:rsidR="00240E1A" w:rsidRPr="00BF7ACF">
        <w:t>souligne que</w:t>
      </w:r>
      <w:r w:rsidR="00F439BB">
        <w:t>, dans la mesure où elle était appelée à statuer comme</w:t>
      </w:r>
      <w:r w:rsidR="00240E1A" w:rsidRPr="00BF7ACF">
        <w:t xml:space="preserve"> juridiction de dernière instance, </w:t>
      </w:r>
      <w:r w:rsidR="00F439BB">
        <w:t>la Cour de cassation était tenue</w:t>
      </w:r>
      <w:r w:rsidR="00240E1A" w:rsidRPr="00BF7ACF">
        <w:t xml:space="preserve"> </w:t>
      </w:r>
      <w:r w:rsidR="00F439BB">
        <w:t xml:space="preserve">de </w:t>
      </w:r>
      <w:r w:rsidR="00240E1A" w:rsidRPr="00BF7ACF">
        <w:t>soulever une question préjudicielle en cas de doute quant à l</w:t>
      </w:r>
      <w:r w:rsidR="00AE1D81">
        <w:t>’</w:t>
      </w:r>
      <w:r w:rsidR="00240E1A" w:rsidRPr="00BF7ACF">
        <w:t xml:space="preserve">interprétation du droit communautaire. Or, le requérant </w:t>
      </w:r>
      <w:r w:rsidR="00F439BB">
        <w:t>fait valoir qu</w:t>
      </w:r>
      <w:r w:rsidR="00AE1D81">
        <w:t>’</w:t>
      </w:r>
      <w:r w:rsidR="00F439BB">
        <w:t xml:space="preserve">il </w:t>
      </w:r>
      <w:r w:rsidR="00240E1A" w:rsidRPr="00BF7ACF">
        <w:t xml:space="preserve">avait cité la jurisprudence </w:t>
      </w:r>
      <w:r w:rsidR="00F439BB">
        <w:t>par</w:t>
      </w:r>
      <w:r w:rsidR="00240E1A" w:rsidRPr="00BF7ACF">
        <w:t xml:space="preserve"> </w:t>
      </w:r>
      <w:r w:rsidR="00F439BB">
        <w:t xml:space="preserve">laquelle </w:t>
      </w:r>
      <w:r w:rsidR="00240E1A" w:rsidRPr="00BF7ACF">
        <w:t xml:space="preserve">la </w:t>
      </w:r>
      <w:r w:rsidR="0078054A">
        <w:rPr>
          <w:rStyle w:val="sb8d990e2"/>
        </w:rPr>
        <w:t>CJUE</w:t>
      </w:r>
      <w:r w:rsidR="00F439BB">
        <w:rPr>
          <w:rStyle w:val="sb8d990e2"/>
        </w:rPr>
        <w:t xml:space="preserve"> </w:t>
      </w:r>
      <w:r w:rsidR="00240E1A" w:rsidRPr="00BF7ACF">
        <w:t xml:space="preserve">avait reconnu un effet direct au principe de non-discrimination </w:t>
      </w:r>
      <w:r w:rsidR="00F439BB">
        <w:t>en matière</w:t>
      </w:r>
      <w:r w:rsidR="00240E1A">
        <w:t xml:space="preserve"> de sécurité sociale</w:t>
      </w:r>
      <w:r w:rsidR="00240E1A" w:rsidRPr="00BF7ACF">
        <w:t xml:space="preserve"> contenu dans l</w:t>
      </w:r>
      <w:r w:rsidR="00AE1D81">
        <w:t>’</w:t>
      </w:r>
      <w:r w:rsidR="00240E1A" w:rsidRPr="00BF7ACF">
        <w:t>accord entre l</w:t>
      </w:r>
      <w:r w:rsidR="00AE1D81">
        <w:t>’</w:t>
      </w:r>
      <w:r w:rsidR="00240E1A" w:rsidRPr="00BF7ACF">
        <w:t>Union européenne et le Royaume du Maroc (</w:t>
      </w:r>
      <w:r w:rsidR="00240E1A">
        <w:t>et dans d</w:t>
      </w:r>
      <w:r w:rsidR="00AE1D81">
        <w:t>’</w:t>
      </w:r>
      <w:r w:rsidR="00240E1A">
        <w:t>autres</w:t>
      </w:r>
      <w:r w:rsidR="00240E1A" w:rsidRPr="00586A92">
        <w:t xml:space="preserve"> </w:t>
      </w:r>
      <w:r w:rsidR="00240E1A">
        <w:t>accords conclus par l</w:t>
      </w:r>
      <w:r w:rsidR="00AE1D81">
        <w:t>’</w:t>
      </w:r>
      <w:r w:rsidR="00240E1A">
        <w:t>Union européenne avec les pays du Maghreb</w:t>
      </w:r>
      <w:r w:rsidR="00240E1A" w:rsidRPr="00BF7ACF">
        <w:t xml:space="preserve"> </w:t>
      </w:r>
      <w:r w:rsidR="00240E1A">
        <w:t xml:space="preserve">– </w:t>
      </w:r>
      <w:r w:rsidR="00240E1A" w:rsidRPr="00BF7ACF">
        <w:t xml:space="preserve">affaire </w:t>
      </w:r>
      <w:r w:rsidR="00240E1A" w:rsidRPr="00BF7ACF">
        <w:rPr>
          <w:i/>
        </w:rPr>
        <w:t>Kziber</w:t>
      </w:r>
      <w:r w:rsidR="00240E1A" w:rsidRPr="00BF7ACF">
        <w:t>, n</w:t>
      </w:r>
      <w:r w:rsidR="00143C2E" w:rsidRPr="00143C2E">
        <w:rPr>
          <w:vertAlign w:val="superscript"/>
        </w:rPr>
        <w:t>o</w:t>
      </w:r>
      <w:r w:rsidR="00240E1A" w:rsidRPr="00BF7ACF">
        <w:t xml:space="preserve"> C-18/90, arrêt du 31 janvier 1991). </w:t>
      </w:r>
      <w:r w:rsidR="00240E1A">
        <w:t>Cette jurisprudence, initialement développée dans le cadre des accords de coopération</w:t>
      </w:r>
      <w:r w:rsidR="00F439BB">
        <w:t>,</w:t>
      </w:r>
      <w:r w:rsidR="00240E1A">
        <w:t xml:space="preserve"> était </w:t>
      </w:r>
      <w:r w:rsidR="00F439BB">
        <w:t xml:space="preserve">selon lui </w:t>
      </w:r>
      <w:r w:rsidR="00240E1A">
        <w:t>« pleinement transposable » aux dispositions pertinentes des accords d</w:t>
      </w:r>
      <w:r w:rsidR="00AE1D81">
        <w:t>’</w:t>
      </w:r>
      <w:r w:rsidR="00240E1A">
        <w:t xml:space="preserve">association. La </w:t>
      </w:r>
      <w:r w:rsidR="0078054A">
        <w:t>CJUE</w:t>
      </w:r>
      <w:r w:rsidR="00240E1A">
        <w:t xml:space="preserve"> a</w:t>
      </w:r>
      <w:r w:rsidR="00F439BB">
        <w:t>vait</w:t>
      </w:r>
      <w:r w:rsidR="00240E1A">
        <w:t xml:space="preserve"> également ajouté</w:t>
      </w:r>
      <w:r w:rsidR="00F439BB">
        <w:t>, précise-t-il,</w:t>
      </w:r>
      <w:r w:rsidR="00240E1A">
        <w:t xml:space="preserve"> que son interprétation était conforme aux exigences des articles 14 de la Convention et 1 du Protocole n</w:t>
      </w:r>
      <w:r w:rsidR="00143C2E" w:rsidRPr="00143C2E">
        <w:rPr>
          <w:vertAlign w:val="superscript"/>
        </w:rPr>
        <w:t>o</w:t>
      </w:r>
      <w:r w:rsidR="00E6035D">
        <w:t> </w:t>
      </w:r>
      <w:r w:rsidR="00240E1A">
        <w:t xml:space="preserve">1. </w:t>
      </w:r>
      <w:r w:rsidR="00240E1A" w:rsidRPr="00BF7ACF">
        <w:t>Par ailleurs, l</w:t>
      </w:r>
      <w:r w:rsidR="00AE1D81">
        <w:t>’</w:t>
      </w:r>
      <w:r w:rsidR="00240E1A" w:rsidRPr="00BF7ACF">
        <w:t xml:space="preserve">interprétation de la notion de « sécurité sociale » faite par la </w:t>
      </w:r>
      <w:r w:rsidR="0078054A">
        <w:rPr>
          <w:rStyle w:val="sb8d990e2"/>
        </w:rPr>
        <w:t>CJUE</w:t>
      </w:r>
      <w:r w:rsidR="00240E1A" w:rsidRPr="00BF7ACF">
        <w:t xml:space="preserve"> était </w:t>
      </w:r>
      <w:r w:rsidR="00A82B77">
        <w:t xml:space="preserve">selon lui </w:t>
      </w:r>
      <w:r w:rsidR="00240E1A" w:rsidRPr="00BF7ACF">
        <w:t>suffisamment ample pour englober également les prestations d</w:t>
      </w:r>
      <w:r w:rsidR="00AE1D81">
        <w:t>’</w:t>
      </w:r>
      <w:r w:rsidR="00240E1A" w:rsidRPr="00BF7ACF">
        <w:t xml:space="preserve">assistance. Dans ces circonstances, </w:t>
      </w:r>
      <w:r w:rsidR="00A82B77">
        <w:t xml:space="preserve">estime le requérant, </w:t>
      </w:r>
      <w:r w:rsidR="00240E1A" w:rsidRPr="00BF7ACF">
        <w:t>il n</w:t>
      </w:r>
      <w:r w:rsidR="00AE1D81">
        <w:t>’</w:t>
      </w:r>
      <w:r w:rsidR="00240E1A" w:rsidRPr="00BF7ACF">
        <w:t>était pas loisible à la Cour de cassation d</w:t>
      </w:r>
      <w:r w:rsidR="00AE1D81">
        <w:t>’</w:t>
      </w:r>
      <w:r w:rsidR="00240E1A" w:rsidRPr="00BF7ACF">
        <w:t>ignorer la demande de question préjudicielle.</w:t>
      </w:r>
    </w:p>
    <w:p w:rsidR="00240E1A" w:rsidRDefault="00240E1A" w:rsidP="00A26256">
      <w:pPr>
        <w:pStyle w:val="ECHRPara"/>
      </w:pPr>
      <w:r w:rsidRPr="00A26256">
        <w:rPr>
          <w:rStyle w:val="JuParaCar"/>
        </w:rPr>
        <w:fldChar w:fldCharType="begin"/>
      </w:r>
      <w:r w:rsidRPr="00A26256">
        <w:rPr>
          <w:rStyle w:val="JuParaCar"/>
        </w:rPr>
        <w:instrText xml:space="preserve"> SEQ level0 \*arabic </w:instrText>
      </w:r>
      <w:r w:rsidRPr="00A26256">
        <w:rPr>
          <w:rStyle w:val="JuParaCar"/>
        </w:rPr>
        <w:fldChar w:fldCharType="separate"/>
      </w:r>
      <w:r w:rsidR="00F44484">
        <w:rPr>
          <w:rStyle w:val="JuParaCar"/>
          <w:noProof/>
        </w:rPr>
        <w:t>28</w:t>
      </w:r>
      <w:r w:rsidRPr="00A26256">
        <w:rPr>
          <w:rStyle w:val="JuParaCar"/>
        </w:rPr>
        <w:fldChar w:fldCharType="end"/>
      </w:r>
      <w:r w:rsidRPr="00A26256">
        <w:rPr>
          <w:rStyle w:val="JuParaCar"/>
        </w:rPr>
        <w:t>.  L</w:t>
      </w:r>
      <w:r w:rsidR="00A82B77" w:rsidRPr="00A26256">
        <w:rPr>
          <w:rStyle w:val="JuParaCar"/>
        </w:rPr>
        <w:t>e requérant ajoute que l</w:t>
      </w:r>
      <w:r w:rsidRPr="00A26256">
        <w:rPr>
          <w:rStyle w:val="JuParaCar"/>
        </w:rPr>
        <w:t>a Cour de cassation n</w:t>
      </w:r>
      <w:r w:rsidR="00AE1D81">
        <w:rPr>
          <w:rStyle w:val="JuParaCar"/>
        </w:rPr>
        <w:t>’</w:t>
      </w:r>
      <w:r w:rsidRPr="00A26256">
        <w:rPr>
          <w:rStyle w:val="JuParaCar"/>
        </w:rPr>
        <w:t xml:space="preserve">a pas motivé son refus de soulever la question préjudicielle et se serait méprise </w:t>
      </w:r>
      <w:r w:rsidR="00A82B77" w:rsidRPr="00A26256">
        <w:rPr>
          <w:rStyle w:val="JuParaCar"/>
        </w:rPr>
        <w:t xml:space="preserve">quant à la </w:t>
      </w:r>
      <w:r w:rsidR="008E56E5" w:rsidRPr="00A26256">
        <w:rPr>
          <w:rStyle w:val="JuParaCar"/>
        </w:rPr>
        <w:t>dimension</w:t>
      </w:r>
      <w:r w:rsidRPr="00A26256">
        <w:rPr>
          <w:rStyle w:val="JuParaCar"/>
        </w:rPr>
        <w:t xml:space="preserve"> « personnelle » et</w:t>
      </w:r>
      <w:r w:rsidR="008E56E5" w:rsidRPr="00A26256">
        <w:rPr>
          <w:rStyle w:val="JuParaCar"/>
        </w:rPr>
        <w:t xml:space="preserve"> à la dimension</w:t>
      </w:r>
      <w:r w:rsidRPr="00A26256">
        <w:rPr>
          <w:rStyle w:val="JuParaCar"/>
        </w:rPr>
        <w:t xml:space="preserve"> « matérielle » du régime </w:t>
      </w:r>
      <w:r w:rsidR="00A82B77" w:rsidRPr="00A26256">
        <w:rPr>
          <w:rStyle w:val="JuParaCar"/>
        </w:rPr>
        <w:t xml:space="preserve">de </w:t>
      </w:r>
      <w:r w:rsidRPr="00A26256">
        <w:rPr>
          <w:rStyle w:val="JuParaCar"/>
        </w:rPr>
        <w:t>non</w:t>
      </w:r>
      <w:r w:rsidR="00A82B77" w:rsidRPr="00A26256">
        <w:rPr>
          <w:rStyle w:val="JuParaCar"/>
        </w:rPr>
        <w:t>-</w:t>
      </w:r>
      <w:r w:rsidRPr="00A26256">
        <w:rPr>
          <w:rStyle w:val="JuParaCar"/>
        </w:rPr>
        <w:t>discriminat</w:t>
      </w:r>
      <w:r w:rsidR="00A82B77" w:rsidRPr="00A26256">
        <w:rPr>
          <w:rStyle w:val="JuParaCar"/>
        </w:rPr>
        <w:t>i</w:t>
      </w:r>
      <w:r w:rsidRPr="00A26256">
        <w:rPr>
          <w:rStyle w:val="JuParaCar"/>
        </w:rPr>
        <w:t>o</w:t>
      </w:r>
      <w:r w:rsidR="00A82B77" w:rsidRPr="00A26256">
        <w:rPr>
          <w:rStyle w:val="JuParaCar"/>
        </w:rPr>
        <w:t>n</w:t>
      </w:r>
      <w:r w:rsidRPr="00A26256">
        <w:rPr>
          <w:rStyle w:val="JuParaCar"/>
        </w:rPr>
        <w:t xml:space="preserve">, qui seraient </w:t>
      </w:r>
      <w:r w:rsidR="00A82B77" w:rsidRPr="00A26256">
        <w:rPr>
          <w:rStyle w:val="JuParaCar"/>
        </w:rPr>
        <w:t xml:space="preserve">deux notions </w:t>
      </w:r>
      <w:r w:rsidRPr="00A26256">
        <w:rPr>
          <w:rStyle w:val="JuParaCar"/>
        </w:rPr>
        <w:t xml:space="preserve">bien distinctes. </w:t>
      </w:r>
      <w:r w:rsidR="00A82B77" w:rsidRPr="00A26256">
        <w:rPr>
          <w:rStyle w:val="JuParaCar"/>
        </w:rPr>
        <w:t>Il ajout</w:t>
      </w:r>
      <w:r w:rsidRPr="00A26256">
        <w:rPr>
          <w:rStyle w:val="JuParaCar"/>
        </w:rPr>
        <w:t>e</w:t>
      </w:r>
      <w:r w:rsidR="00A82B77" w:rsidRPr="00A26256">
        <w:rPr>
          <w:rStyle w:val="JuParaCar"/>
        </w:rPr>
        <w:t xml:space="preserve"> que</w:t>
      </w:r>
      <w:r w:rsidRPr="00A26256">
        <w:rPr>
          <w:rStyle w:val="JuParaCar"/>
        </w:rPr>
        <w:t xml:space="preserve"> la qualification de l</w:t>
      </w:r>
      <w:r w:rsidR="00AE1D81">
        <w:rPr>
          <w:rStyle w:val="JuParaCar"/>
        </w:rPr>
        <w:t>’</w:t>
      </w:r>
      <w:r w:rsidRPr="00A26256">
        <w:rPr>
          <w:rStyle w:val="JuParaCar"/>
        </w:rPr>
        <w:t>allocation litigieuse comme relevant de l</w:t>
      </w:r>
      <w:r w:rsidR="00AE1D81">
        <w:rPr>
          <w:rStyle w:val="JuParaCar"/>
        </w:rPr>
        <w:t>’</w:t>
      </w:r>
      <w:r w:rsidRPr="00A26256">
        <w:rPr>
          <w:rStyle w:val="JuParaCar"/>
        </w:rPr>
        <w:t xml:space="preserve">« assistance sociale » a été </w:t>
      </w:r>
      <w:r w:rsidR="00A82B77" w:rsidRPr="00A26256">
        <w:rPr>
          <w:rStyle w:val="JuParaCar"/>
        </w:rPr>
        <w:t xml:space="preserve">opérée </w:t>
      </w:r>
      <w:r w:rsidRPr="00A26256">
        <w:rPr>
          <w:rStyle w:val="JuParaCar"/>
        </w:rPr>
        <w:t xml:space="preserve">uniquement par rapport au droit interne et non sur la base des critères développés par la </w:t>
      </w:r>
      <w:r w:rsidR="0078054A" w:rsidRPr="00A26256">
        <w:rPr>
          <w:rStyle w:val="JuParaCar"/>
        </w:rPr>
        <w:t>CJUE</w:t>
      </w:r>
      <w:r w:rsidRPr="00A26256">
        <w:rPr>
          <w:rStyle w:val="JuParaCar"/>
        </w:rPr>
        <w:t xml:space="preserve"> (</w:t>
      </w:r>
      <w:r w:rsidR="00A82B77" w:rsidRPr="00A26256">
        <w:rPr>
          <w:rStyle w:val="JuParaCar"/>
        </w:rPr>
        <w:t xml:space="preserve">à savoir le </w:t>
      </w:r>
      <w:r w:rsidRPr="00A26256">
        <w:rPr>
          <w:rStyle w:val="JuParaCar"/>
        </w:rPr>
        <w:t xml:space="preserve">caractère légal et </w:t>
      </w:r>
      <w:r w:rsidR="00A82B77" w:rsidRPr="00A26256">
        <w:rPr>
          <w:rStyle w:val="JuParaCar"/>
        </w:rPr>
        <w:t>l</w:t>
      </w:r>
      <w:r w:rsidR="00AE1D81">
        <w:rPr>
          <w:rStyle w:val="JuParaCar"/>
        </w:rPr>
        <w:t>’</w:t>
      </w:r>
      <w:r w:rsidRPr="00A26256">
        <w:rPr>
          <w:rStyle w:val="JuParaCar"/>
        </w:rPr>
        <w:t>ambivalence de la prestation</w:t>
      </w:r>
      <w:r w:rsidR="00A82B77" w:rsidRPr="00A26256">
        <w:rPr>
          <w:rStyle w:val="JuParaCar"/>
        </w:rPr>
        <w:t>,</w:t>
      </w:r>
      <w:r w:rsidRPr="00A26256">
        <w:rPr>
          <w:rStyle w:val="JuParaCar"/>
        </w:rPr>
        <w:t xml:space="preserve"> et </w:t>
      </w:r>
      <w:r w:rsidR="00A82B77" w:rsidRPr="00A26256">
        <w:rPr>
          <w:rStyle w:val="JuParaCar"/>
        </w:rPr>
        <w:t xml:space="preserve">le </w:t>
      </w:r>
      <w:r w:rsidRPr="00A26256">
        <w:rPr>
          <w:rStyle w:val="JuParaCar"/>
        </w:rPr>
        <w:t>rattachement de cette dernière à l</w:t>
      </w:r>
      <w:r w:rsidR="00AE1D81">
        <w:rPr>
          <w:rStyle w:val="JuParaCar"/>
        </w:rPr>
        <w:t>’</w:t>
      </w:r>
      <w:r w:rsidRPr="00A26256">
        <w:rPr>
          <w:rStyle w:val="JuParaCar"/>
        </w:rPr>
        <w:t>un des risques énumérés à l</w:t>
      </w:r>
      <w:r w:rsidR="00AE1D81">
        <w:rPr>
          <w:rStyle w:val="JuParaCar"/>
        </w:rPr>
        <w:t>’</w:t>
      </w:r>
      <w:r w:rsidRPr="00A26256">
        <w:rPr>
          <w:rStyle w:val="JuParaCar"/>
        </w:rPr>
        <w:t>article 4 § 1 du règlement n</w:t>
      </w:r>
      <w:r w:rsidR="00143C2E" w:rsidRPr="00A26256">
        <w:rPr>
          <w:rStyle w:val="JuParaCar"/>
        </w:rPr>
        <w:t>o</w:t>
      </w:r>
      <w:r w:rsidRPr="00A26256">
        <w:rPr>
          <w:rStyle w:val="JuParaCar"/>
        </w:rPr>
        <w:t xml:space="preserve"> 1408/71). Ainsi, </w:t>
      </w:r>
      <w:r w:rsidR="00A82B77" w:rsidRPr="00A26256">
        <w:rPr>
          <w:rStyle w:val="JuParaCar"/>
        </w:rPr>
        <w:t xml:space="preserve">la </w:t>
      </w:r>
      <w:r w:rsidRPr="00A26256">
        <w:rPr>
          <w:rStyle w:val="JuParaCar"/>
        </w:rPr>
        <w:t xml:space="preserve">portée « communautaire » </w:t>
      </w:r>
      <w:r w:rsidR="0074328F" w:rsidRPr="00A26256">
        <w:rPr>
          <w:rStyle w:val="JuParaCar"/>
        </w:rPr>
        <w:t xml:space="preserve">de cette opération de qualification </w:t>
      </w:r>
      <w:r w:rsidRPr="00A26256">
        <w:rPr>
          <w:rStyle w:val="JuParaCar"/>
        </w:rPr>
        <w:t xml:space="preserve">a </w:t>
      </w:r>
      <w:r w:rsidR="0074328F" w:rsidRPr="00A26256">
        <w:rPr>
          <w:rStyle w:val="JuParaCar"/>
        </w:rPr>
        <w:t xml:space="preserve">selon lui </w:t>
      </w:r>
      <w:r w:rsidRPr="00A26256">
        <w:rPr>
          <w:rStyle w:val="JuParaCar"/>
        </w:rPr>
        <w:t xml:space="preserve">été ignorée. </w:t>
      </w:r>
      <w:r w:rsidR="0074328F" w:rsidRPr="00A26256">
        <w:rPr>
          <w:rStyle w:val="JuParaCar"/>
        </w:rPr>
        <w:t>U</w:t>
      </w:r>
      <w:r w:rsidRPr="00A26256">
        <w:rPr>
          <w:rStyle w:val="JuParaCar"/>
        </w:rPr>
        <w:t xml:space="preserve">ne analyse du droit européen et de la jurisprudence de la </w:t>
      </w:r>
      <w:r w:rsidR="0078054A" w:rsidRPr="00A26256">
        <w:rPr>
          <w:rStyle w:val="JuParaCar"/>
        </w:rPr>
        <w:t>CJUE</w:t>
      </w:r>
      <w:r w:rsidRPr="00A26256">
        <w:rPr>
          <w:rStyle w:val="JuParaCar"/>
        </w:rPr>
        <w:t xml:space="preserve"> </w:t>
      </w:r>
      <w:r w:rsidR="0074328F" w:rsidRPr="00A26256">
        <w:rPr>
          <w:rStyle w:val="JuParaCar"/>
        </w:rPr>
        <w:t xml:space="preserve">montre, à ses yeux, </w:t>
      </w:r>
      <w:r w:rsidRPr="00A26256">
        <w:rPr>
          <w:rStyle w:val="JuParaCar"/>
        </w:rPr>
        <w:t>que les prestations « non contributives » et financées par l</w:t>
      </w:r>
      <w:r w:rsidR="00AE1D81">
        <w:rPr>
          <w:rStyle w:val="JuParaCar"/>
        </w:rPr>
        <w:t>’</w:t>
      </w:r>
      <w:r w:rsidR="005C3192" w:rsidRPr="00A26256">
        <w:rPr>
          <w:rStyle w:val="JuParaCar"/>
        </w:rPr>
        <w:t>É</w:t>
      </w:r>
      <w:r w:rsidRPr="00A26256">
        <w:rPr>
          <w:rStyle w:val="JuParaCar"/>
        </w:rPr>
        <w:t xml:space="preserve">tat ne </w:t>
      </w:r>
      <w:r w:rsidR="0074328F" w:rsidRPr="00A26256">
        <w:rPr>
          <w:rStyle w:val="JuParaCar"/>
        </w:rPr>
        <w:t xml:space="preserve">peuvent pas </w:t>
      </w:r>
      <w:r w:rsidRPr="00A26256">
        <w:rPr>
          <w:rStyle w:val="JuParaCar"/>
        </w:rPr>
        <w:t xml:space="preserve">être automatiquement exclues du champ </w:t>
      </w:r>
      <w:r w:rsidR="0074328F" w:rsidRPr="00A26256">
        <w:rPr>
          <w:rStyle w:val="JuParaCar"/>
        </w:rPr>
        <w:t>d</w:t>
      </w:r>
      <w:r w:rsidR="00AE1D81">
        <w:rPr>
          <w:rStyle w:val="JuParaCar"/>
        </w:rPr>
        <w:t>’</w:t>
      </w:r>
      <w:r w:rsidR="0074328F" w:rsidRPr="00A26256">
        <w:rPr>
          <w:rStyle w:val="JuParaCar"/>
        </w:rPr>
        <w:t>application</w:t>
      </w:r>
      <w:r w:rsidRPr="00A26256">
        <w:rPr>
          <w:rStyle w:val="JuParaCar"/>
        </w:rPr>
        <w:t xml:space="preserve"> </w:t>
      </w:r>
      <w:r w:rsidR="0074328F" w:rsidRPr="00A26256">
        <w:rPr>
          <w:rStyle w:val="JuParaCar"/>
        </w:rPr>
        <w:t xml:space="preserve">du </w:t>
      </w:r>
      <w:r w:rsidRPr="00A26256">
        <w:rPr>
          <w:rStyle w:val="JuParaCar"/>
        </w:rPr>
        <w:t xml:space="preserve">régime </w:t>
      </w:r>
      <w:r w:rsidR="0074328F" w:rsidRPr="00A26256">
        <w:rPr>
          <w:rStyle w:val="JuParaCar"/>
        </w:rPr>
        <w:t xml:space="preserve">de </w:t>
      </w:r>
      <w:r w:rsidRPr="00A26256">
        <w:rPr>
          <w:rStyle w:val="JuParaCar"/>
        </w:rPr>
        <w:t>non</w:t>
      </w:r>
      <w:r w:rsidR="0074328F" w:rsidRPr="00A26256">
        <w:rPr>
          <w:rStyle w:val="JuParaCar"/>
        </w:rPr>
        <w:t>-</w:t>
      </w:r>
      <w:r w:rsidRPr="00A26256">
        <w:rPr>
          <w:rStyle w:val="JuParaCar"/>
        </w:rPr>
        <w:t>discriminat</w:t>
      </w:r>
      <w:r w:rsidR="0074328F" w:rsidRPr="00A26256">
        <w:rPr>
          <w:rStyle w:val="JuParaCar"/>
        </w:rPr>
        <w:t>i</w:t>
      </w:r>
      <w:r w:rsidRPr="00A26256">
        <w:rPr>
          <w:rStyle w:val="JuParaCar"/>
        </w:rPr>
        <w:t>o</w:t>
      </w:r>
      <w:r w:rsidR="0074328F" w:rsidRPr="00A26256">
        <w:rPr>
          <w:rStyle w:val="JuParaCar"/>
        </w:rPr>
        <w:t>n</w:t>
      </w:r>
      <w:r w:rsidRPr="00A26256">
        <w:rPr>
          <w:rStyle w:val="JuParaCar"/>
        </w:rPr>
        <w:t xml:space="preserve"> </w:t>
      </w:r>
      <w:r w:rsidR="0074328F" w:rsidRPr="00A26256">
        <w:rPr>
          <w:rStyle w:val="JuParaCar"/>
        </w:rPr>
        <w:t>établi</w:t>
      </w:r>
      <w:r w:rsidRPr="00A26256">
        <w:rPr>
          <w:rStyle w:val="JuParaCar"/>
        </w:rPr>
        <w:t xml:space="preserve"> </w:t>
      </w:r>
      <w:r w:rsidR="0074328F" w:rsidRPr="00A26256">
        <w:rPr>
          <w:rStyle w:val="JuParaCar"/>
        </w:rPr>
        <w:t xml:space="preserve">par </w:t>
      </w:r>
      <w:r w:rsidRPr="00A26256">
        <w:rPr>
          <w:rStyle w:val="JuParaCar"/>
        </w:rPr>
        <w:t>l</w:t>
      </w:r>
      <w:r w:rsidR="00AE1D81">
        <w:rPr>
          <w:rStyle w:val="JuParaCar"/>
        </w:rPr>
        <w:t>’</w:t>
      </w:r>
      <w:r w:rsidRPr="00A26256">
        <w:rPr>
          <w:rStyle w:val="JuParaCar"/>
        </w:rPr>
        <w:t>accord (</w:t>
      </w:r>
      <w:r w:rsidR="0074328F" w:rsidRPr="00A26256">
        <w:rPr>
          <w:rStyle w:val="JuParaCar"/>
        </w:rPr>
        <w:t>le requérant cite</w:t>
      </w:r>
      <w:r w:rsidRPr="00A26256">
        <w:rPr>
          <w:rStyle w:val="JuParaCar"/>
        </w:rPr>
        <w:t>, par exemple, les affaires Yousfi, n</w:t>
      </w:r>
      <w:r w:rsidR="00143C2E" w:rsidRPr="00A26256">
        <w:rPr>
          <w:rStyle w:val="JuParaCar"/>
        </w:rPr>
        <w:t>o</w:t>
      </w:r>
      <w:r w:rsidRPr="00A26256">
        <w:rPr>
          <w:rStyle w:val="JuParaCar"/>
        </w:rPr>
        <w:t xml:space="preserve"> C-58/93, arrêt du 20 avril 1994, relative à l</w:t>
      </w:r>
      <w:r w:rsidR="00AE1D81">
        <w:rPr>
          <w:rStyle w:val="JuParaCar"/>
        </w:rPr>
        <w:t>’</w:t>
      </w:r>
      <w:r w:rsidRPr="00A26256">
        <w:rPr>
          <w:rStyle w:val="JuParaCar"/>
        </w:rPr>
        <w:t>octroi d</w:t>
      </w:r>
      <w:r w:rsidR="00AE1D81">
        <w:rPr>
          <w:rStyle w:val="JuParaCar"/>
        </w:rPr>
        <w:t>’</w:t>
      </w:r>
      <w:r w:rsidRPr="00A26256">
        <w:rPr>
          <w:rStyle w:val="JuParaCar"/>
        </w:rPr>
        <w:t>une allocation pour handicapés ; Commission c. Grèce, n</w:t>
      </w:r>
      <w:r w:rsidR="00143C2E" w:rsidRPr="00A26256">
        <w:rPr>
          <w:rStyle w:val="JuParaCar"/>
        </w:rPr>
        <w:t>o</w:t>
      </w:r>
      <w:r w:rsidRPr="00A26256">
        <w:rPr>
          <w:rStyle w:val="JuParaCar"/>
        </w:rPr>
        <w:t xml:space="preserve"> C-185/96, arrêt du 29 octobre 1998, concernant différentes catégories de prestations pour « famille nombreuse » ; Hughes, n</w:t>
      </w:r>
      <w:r w:rsidR="00143C2E" w:rsidRPr="00A26256">
        <w:rPr>
          <w:rStyle w:val="JuParaCar"/>
        </w:rPr>
        <w:t>o</w:t>
      </w:r>
      <w:r w:rsidRPr="00A26256">
        <w:rPr>
          <w:rStyle w:val="JuParaCar"/>
        </w:rPr>
        <w:t xml:space="preserve"> C-78/91, arrêt du 20</w:t>
      </w:r>
      <w:r w:rsidR="00A26256">
        <w:rPr>
          <w:rStyle w:val="JuParaCar"/>
        </w:rPr>
        <w:t> </w:t>
      </w:r>
      <w:r w:rsidRPr="00A26256">
        <w:rPr>
          <w:rStyle w:val="JuParaCar"/>
        </w:rPr>
        <w:t>juin 1990, ayant pour objet le « family credit » britannique). De l</w:t>
      </w:r>
      <w:r w:rsidR="00AE1D81">
        <w:rPr>
          <w:rStyle w:val="JuParaCar"/>
        </w:rPr>
        <w:t>’</w:t>
      </w:r>
      <w:r w:rsidRPr="00A26256">
        <w:rPr>
          <w:rStyle w:val="JuParaCar"/>
        </w:rPr>
        <w:t>avis du requérant, ses références à cette jurisprudence auraient dû amener la Cour de cassation soit à inclure</w:t>
      </w:r>
      <w:r w:rsidR="0074328F" w:rsidRPr="00A26256">
        <w:rPr>
          <w:rStyle w:val="JuParaCar"/>
        </w:rPr>
        <w:t xml:space="preserve"> elle-même</w:t>
      </w:r>
      <w:r w:rsidRPr="00A26256">
        <w:rPr>
          <w:rStyle w:val="JuParaCar"/>
        </w:rPr>
        <w:t>, par analogie, l</w:t>
      </w:r>
      <w:r w:rsidR="00AE1D81">
        <w:rPr>
          <w:rStyle w:val="JuParaCar"/>
        </w:rPr>
        <w:t>’</w:t>
      </w:r>
      <w:r w:rsidRPr="00A26256">
        <w:rPr>
          <w:rStyle w:val="JuParaCar"/>
        </w:rPr>
        <w:t>allocation qu</w:t>
      </w:r>
      <w:r w:rsidR="00AE1D81">
        <w:rPr>
          <w:rStyle w:val="JuParaCar"/>
        </w:rPr>
        <w:t>’</w:t>
      </w:r>
      <w:r w:rsidRPr="00A26256">
        <w:rPr>
          <w:rStyle w:val="JuParaCar"/>
        </w:rPr>
        <w:t xml:space="preserve">il </w:t>
      </w:r>
      <w:r>
        <w:t>revendiquait dans le champ d</w:t>
      </w:r>
      <w:r w:rsidR="00AE1D81">
        <w:t>’</w:t>
      </w:r>
      <w:r>
        <w:t>application du règlement n</w:t>
      </w:r>
      <w:r w:rsidR="00143C2E" w:rsidRPr="00143C2E">
        <w:rPr>
          <w:vertAlign w:val="superscript"/>
        </w:rPr>
        <w:t>o</w:t>
      </w:r>
      <w:r>
        <w:t xml:space="preserve"> 1408/71, soit à interroger la </w:t>
      </w:r>
      <w:r w:rsidR="0078054A">
        <w:t>CJUE</w:t>
      </w:r>
      <w:r>
        <w:t>, qui ne s</w:t>
      </w:r>
      <w:r w:rsidR="00AE1D81">
        <w:t>’</w:t>
      </w:r>
      <w:r>
        <w:t>était pas encore prononcée quant à la nature de cette allocation spécifique.</w:t>
      </w:r>
    </w:p>
    <w:p w:rsidR="00A95CCF" w:rsidRDefault="00F44484" w:rsidP="00A26256">
      <w:pPr>
        <w:pStyle w:val="ECHRPara"/>
      </w:pPr>
      <w:r>
        <w:fldChar w:fldCharType="begin"/>
      </w:r>
      <w:r>
        <w:instrText xml:space="preserve"> SEQ level0 \*arabic </w:instrText>
      </w:r>
      <w:r>
        <w:fldChar w:fldCharType="separate"/>
      </w:r>
      <w:r>
        <w:rPr>
          <w:noProof/>
        </w:rPr>
        <w:t>29</w:t>
      </w:r>
      <w:r>
        <w:rPr>
          <w:noProof/>
        </w:rPr>
        <w:fldChar w:fldCharType="end"/>
      </w:r>
      <w:r w:rsidR="00240E1A">
        <w:t>.  Le requérant note également que l</w:t>
      </w:r>
      <w:r w:rsidR="00AE1D81">
        <w:t>’</w:t>
      </w:r>
      <w:r w:rsidR="00240E1A">
        <w:t>article 13 de la loi n</w:t>
      </w:r>
      <w:r w:rsidR="00143C2E" w:rsidRPr="00143C2E">
        <w:rPr>
          <w:vertAlign w:val="superscript"/>
        </w:rPr>
        <w:t>o</w:t>
      </w:r>
      <w:r w:rsidR="00F07984">
        <w:t> </w:t>
      </w:r>
      <w:r w:rsidR="00240E1A">
        <w:t>97 du 6 août 2013 (entrée en vigueur le 4 septembre 2013) a prévu l</w:t>
      </w:r>
      <w:r w:rsidR="00AE1D81">
        <w:t>’</w:t>
      </w:r>
      <w:r w:rsidR="00240E1A">
        <w:t>extension de l</w:t>
      </w:r>
      <w:r w:rsidR="00AE1D81">
        <w:t>’</w:t>
      </w:r>
      <w:r w:rsidR="00240E1A">
        <w:t xml:space="preserve">allocation </w:t>
      </w:r>
      <w:r w:rsidR="0074328F">
        <w:t>instituée</w:t>
      </w:r>
      <w:r w:rsidR="00240E1A">
        <w:t xml:space="preserve"> </w:t>
      </w:r>
      <w:r w:rsidR="0074328F">
        <w:t xml:space="preserve">par </w:t>
      </w:r>
      <w:r w:rsidR="00240E1A">
        <w:t>l</w:t>
      </w:r>
      <w:r w:rsidR="00AE1D81">
        <w:t>’</w:t>
      </w:r>
      <w:r w:rsidR="00240E1A">
        <w:t>article 65 de la loi n</w:t>
      </w:r>
      <w:r w:rsidR="00143C2E" w:rsidRPr="00143C2E">
        <w:rPr>
          <w:vertAlign w:val="superscript"/>
        </w:rPr>
        <w:t>o</w:t>
      </w:r>
      <w:r w:rsidR="00240E1A">
        <w:t> 448 de 1998 aux ressortissants de pays tiers titulaires d</w:t>
      </w:r>
      <w:r w:rsidR="00AE1D81">
        <w:t>’</w:t>
      </w:r>
      <w:r w:rsidR="00240E1A">
        <w:t xml:space="preserve">un permis de séjour de longue durée. </w:t>
      </w:r>
      <w:r w:rsidR="0074328F">
        <w:t>Il ajoute que</w:t>
      </w:r>
      <w:r w:rsidR="00240E1A">
        <w:t xml:space="preserve"> dans son arrêt n</w:t>
      </w:r>
      <w:r w:rsidR="00143C2E" w:rsidRPr="00143C2E">
        <w:rPr>
          <w:vertAlign w:val="superscript"/>
        </w:rPr>
        <w:t>o</w:t>
      </w:r>
      <w:r w:rsidR="00E6035D">
        <w:t> </w:t>
      </w:r>
      <w:r w:rsidR="00240E1A">
        <w:t>133 de 2013, la Cour constitutionnelle a jugé déraisonnable et incompatible avec le principe d</w:t>
      </w:r>
      <w:r w:rsidR="00AE1D81">
        <w:t>’</w:t>
      </w:r>
      <w:r w:rsidR="00240E1A">
        <w:t xml:space="preserve">égalité devant la loi la condition de résidence </w:t>
      </w:r>
      <w:r w:rsidR="005135BD">
        <w:t xml:space="preserve">de cinq ans </w:t>
      </w:r>
      <w:r w:rsidR="00240E1A">
        <w:t>sur le territoire d</w:t>
      </w:r>
      <w:r w:rsidR="00AE1D81">
        <w:t>’</w:t>
      </w:r>
      <w:r w:rsidR="00240E1A">
        <w:t>une région pour le versement d</w:t>
      </w:r>
      <w:r w:rsidR="00AE1D81">
        <w:t>’</w:t>
      </w:r>
      <w:r w:rsidR="008E56E5">
        <w:t xml:space="preserve">une </w:t>
      </w:r>
      <w:r w:rsidR="00240E1A">
        <w:t xml:space="preserve">allocation régionale </w:t>
      </w:r>
      <w:r w:rsidR="005135BD">
        <w:t xml:space="preserve">ayant un objet similaire </w:t>
      </w:r>
      <w:r w:rsidR="00240E1A">
        <w:t>(</w:t>
      </w:r>
      <w:r w:rsidR="0074328F">
        <w:t xml:space="preserve">le requérant cite </w:t>
      </w:r>
      <w:r w:rsidR="00240E1A">
        <w:t>également l</w:t>
      </w:r>
      <w:r w:rsidR="00AE1D81">
        <w:t>’</w:t>
      </w:r>
      <w:r w:rsidR="00240E1A">
        <w:t>arrêt n</w:t>
      </w:r>
      <w:r w:rsidR="00143C2E" w:rsidRPr="00143C2E">
        <w:rPr>
          <w:vertAlign w:val="superscript"/>
        </w:rPr>
        <w:t>o</w:t>
      </w:r>
      <w:r w:rsidR="00392E3B">
        <w:t> </w:t>
      </w:r>
      <w:r w:rsidR="00240E1A">
        <w:t>222 de 2013).</w:t>
      </w:r>
    </w:p>
    <w:p w:rsidR="00240E1A" w:rsidRDefault="00240E1A" w:rsidP="00A26256">
      <w:pPr>
        <w:pStyle w:val="ECHRPara"/>
      </w:pPr>
      <w:r>
        <w:t>b)  Le Gouvernement</w:t>
      </w:r>
    </w:p>
    <w:p w:rsidR="00240E1A" w:rsidRDefault="00F44484" w:rsidP="00A26256">
      <w:pPr>
        <w:pStyle w:val="ECHRPara"/>
      </w:pPr>
      <w:r>
        <w:fldChar w:fldCharType="begin"/>
      </w:r>
      <w:r>
        <w:instrText xml:space="preserve"> SEQ level0 \*arabic </w:instrText>
      </w:r>
      <w:r>
        <w:fldChar w:fldCharType="separate"/>
      </w:r>
      <w:r>
        <w:rPr>
          <w:noProof/>
        </w:rPr>
        <w:t>30</w:t>
      </w:r>
      <w:r>
        <w:rPr>
          <w:noProof/>
        </w:rPr>
        <w:fldChar w:fldCharType="end"/>
      </w:r>
      <w:r w:rsidR="00240E1A">
        <w:t xml:space="preserve">.  Le Gouvernement </w:t>
      </w:r>
      <w:r w:rsidR="0074328F">
        <w:t xml:space="preserve">expose </w:t>
      </w:r>
      <w:r w:rsidR="00240E1A">
        <w:t xml:space="preserve">que la Cour de cassation a expressément </w:t>
      </w:r>
      <w:r w:rsidR="0074328F">
        <w:t xml:space="preserve">examiné </w:t>
      </w:r>
      <w:r w:rsidR="00240E1A">
        <w:t>le champ d</w:t>
      </w:r>
      <w:r w:rsidR="00AE1D81">
        <w:t>’</w:t>
      </w:r>
      <w:r w:rsidR="00240E1A">
        <w:t>application de l</w:t>
      </w:r>
      <w:r w:rsidR="00AE1D81">
        <w:t>’</w:t>
      </w:r>
      <w:r w:rsidR="00240E1A">
        <w:t xml:space="preserve">Accord </w:t>
      </w:r>
      <w:r w:rsidR="00FE49FA">
        <w:t>euro</w:t>
      </w:r>
      <w:r w:rsidR="00240E1A">
        <w:t>-méditerranéen et estimé que l</w:t>
      </w:r>
      <w:r w:rsidR="00AE1D81">
        <w:t>’</w:t>
      </w:r>
      <w:r w:rsidR="00240E1A">
        <w:t>allocation pour les familles comp</w:t>
      </w:r>
      <w:r w:rsidR="0074328F">
        <w:t>renant</w:t>
      </w:r>
      <w:r w:rsidR="00240E1A">
        <w:t xml:space="preserve"> </w:t>
      </w:r>
      <w:r w:rsidR="0074328F">
        <w:t xml:space="preserve">au moins </w:t>
      </w:r>
      <w:r w:rsidR="00240E1A">
        <w:t>trois enfants mineurs ne pouvait pas rentrer dans la notion de sécurité sociale, même au sens large que celle-ci a au niveau communautaire.</w:t>
      </w:r>
      <w:r w:rsidR="00E6035D">
        <w:t xml:space="preserve"> </w:t>
      </w:r>
      <w:r w:rsidR="00240E1A">
        <w:t>La Cour de cassation a donc considéré comme claire la disposition qu</w:t>
      </w:r>
      <w:r w:rsidR="00AE1D81">
        <w:t>’</w:t>
      </w:r>
      <w:r w:rsidR="00240E1A">
        <w:t>elle devait interpréter</w:t>
      </w:r>
      <w:r w:rsidR="00776FE8">
        <w:t> ; ce faisant, le Gouvernement estime qu</w:t>
      </w:r>
      <w:r w:rsidR="00AE1D81">
        <w:t>’</w:t>
      </w:r>
      <w:r w:rsidR="00776FE8">
        <w:t xml:space="preserve">elle a </w:t>
      </w:r>
      <w:r w:rsidR="00240E1A">
        <w:t>satisfait à ses obligations sous l</w:t>
      </w:r>
      <w:r w:rsidR="00AE1D81">
        <w:t>’</w:t>
      </w:r>
      <w:r w:rsidR="00240E1A">
        <w:t>angle de l</w:t>
      </w:r>
      <w:r w:rsidR="00AE1D81">
        <w:t>’</w:t>
      </w:r>
      <w:r w:rsidR="00240E1A">
        <w:t>article 6 § 1 de la Convention.</w:t>
      </w:r>
    </w:p>
    <w:p w:rsidR="00240E1A" w:rsidRDefault="00240E1A" w:rsidP="00240E1A">
      <w:pPr>
        <w:pStyle w:val="ECHRHeading3"/>
      </w:pPr>
      <w:r>
        <w:t>2.  Appréciation de la Cour</w:t>
      </w:r>
    </w:p>
    <w:p w:rsidR="0059350F" w:rsidRPr="0059350F" w:rsidRDefault="00240E1A" w:rsidP="0059350F">
      <w:pPr>
        <w:pStyle w:val="ECHRPara"/>
      </w:pPr>
      <w:r>
        <w:fldChar w:fldCharType="begin"/>
      </w:r>
      <w:r w:rsidRPr="0059350F">
        <w:instrText xml:space="preserve"> SEQ level0 \*arabic </w:instrText>
      </w:r>
      <w:r>
        <w:fldChar w:fldCharType="separate"/>
      </w:r>
      <w:r w:rsidR="00F44484">
        <w:rPr>
          <w:noProof/>
        </w:rPr>
        <w:t>31</w:t>
      </w:r>
      <w:r>
        <w:rPr>
          <w:noProof/>
        </w:rPr>
        <w:fldChar w:fldCharType="end"/>
      </w:r>
      <w:r w:rsidRPr="0059350F">
        <w:t>.  </w:t>
      </w:r>
      <w:r w:rsidR="0059350F" w:rsidRPr="0059350F">
        <w:t>L</w:t>
      </w:r>
      <w:r w:rsidR="0059350F">
        <w:t>a Cour</w:t>
      </w:r>
      <w:r w:rsidR="0059350F" w:rsidRPr="0059350F">
        <w:t xml:space="preserve"> rappelle que dans l</w:t>
      </w:r>
      <w:r w:rsidR="00AE1D81">
        <w:t>’</w:t>
      </w:r>
      <w:r w:rsidR="0059350F" w:rsidRPr="0059350F">
        <w:t xml:space="preserve">affaire </w:t>
      </w:r>
      <w:r w:rsidR="0059350F" w:rsidRPr="0059350F">
        <w:rPr>
          <w:i/>
        </w:rPr>
        <w:t>Vergauwen c.</w:t>
      </w:r>
      <w:r w:rsidR="00F07984">
        <w:rPr>
          <w:i/>
        </w:rPr>
        <w:t> </w:t>
      </w:r>
      <w:r w:rsidR="0059350F" w:rsidRPr="0059350F">
        <w:rPr>
          <w:i/>
        </w:rPr>
        <w:t xml:space="preserve">Belgique </w:t>
      </w:r>
      <w:r w:rsidR="0059350F" w:rsidRPr="0059350F">
        <w:t>((déc.), n</w:t>
      </w:r>
      <w:r w:rsidR="00143C2E" w:rsidRPr="00143C2E">
        <w:rPr>
          <w:vertAlign w:val="superscript"/>
        </w:rPr>
        <w:t>o</w:t>
      </w:r>
      <w:r w:rsidR="00E6035D">
        <w:t> </w:t>
      </w:r>
      <w:r w:rsidR="0059350F" w:rsidRPr="0059350F">
        <w:t xml:space="preserve">4832/04, §§ 89-90, 10 avril 2012), </w:t>
      </w:r>
      <w:r w:rsidR="0059350F">
        <w:t>elle</w:t>
      </w:r>
      <w:r w:rsidR="0059350F" w:rsidRPr="0059350F">
        <w:t xml:space="preserve"> a exprimé les principes suiv</w:t>
      </w:r>
      <w:r w:rsidR="0078054A">
        <w:t>a</w:t>
      </w:r>
      <w:r w:rsidR="0059350F" w:rsidRPr="0059350F">
        <w:t>nt</w:t>
      </w:r>
      <w:r w:rsidR="0078054A">
        <w:t>s</w:t>
      </w:r>
      <w:r w:rsidR="0059350F" w:rsidRPr="0059350F">
        <w:t> :</w:t>
      </w:r>
    </w:p>
    <w:p w:rsidR="0059350F" w:rsidRDefault="002E4237" w:rsidP="0059350F">
      <w:pPr>
        <w:pStyle w:val="ECHRPara"/>
        <w:rPr>
          <w:rStyle w:val="wordhighlighted"/>
        </w:rPr>
      </w:pPr>
      <w:r>
        <w:rPr>
          <w:rStyle w:val="sb8d990e2"/>
        </w:rPr>
        <w:t>–</w:t>
      </w:r>
      <w:r w:rsidR="0059350F">
        <w:rPr>
          <w:rStyle w:val="sb8d990e2"/>
        </w:rPr>
        <w:t xml:space="preserve"> </w:t>
      </w:r>
      <w:r w:rsidR="0059350F" w:rsidRPr="00A95B8D">
        <w:rPr>
          <w:rStyle w:val="sb8d990e2"/>
        </w:rPr>
        <w:t>l</w:t>
      </w:r>
      <w:r w:rsidR="00AE1D81">
        <w:rPr>
          <w:rStyle w:val="sb8d990e2"/>
        </w:rPr>
        <w:t>’</w:t>
      </w:r>
      <w:r w:rsidR="0059350F" w:rsidRPr="00A95B8D">
        <w:rPr>
          <w:rStyle w:val="sb8d990e2"/>
        </w:rPr>
        <w:t xml:space="preserve">article 6 § 1 met à la charge des juridictions internes une obligation de motiver au regard du droit applicable les décisions par lesquelles elles refusent de poser une </w:t>
      </w:r>
      <w:r w:rsidR="0059350F" w:rsidRPr="00A95B8D">
        <w:rPr>
          <w:rStyle w:val="wordhighlighted"/>
        </w:rPr>
        <w:t>question</w:t>
      </w:r>
      <w:r w:rsidR="0059350F" w:rsidRPr="00A95B8D">
        <w:rPr>
          <w:rStyle w:val="sb8d990e2"/>
        </w:rPr>
        <w:t xml:space="preserve"> </w:t>
      </w:r>
      <w:r w:rsidR="0059350F" w:rsidRPr="00A95B8D">
        <w:rPr>
          <w:rStyle w:val="wordhighlighted"/>
        </w:rPr>
        <w:t>préjudicielle</w:t>
      </w:r>
      <w:r w:rsidR="0059350F">
        <w:rPr>
          <w:rStyle w:val="wordhighlighted"/>
        </w:rPr>
        <w:t> ;</w:t>
      </w:r>
    </w:p>
    <w:p w:rsidR="0059350F" w:rsidRDefault="002E4237" w:rsidP="0059350F">
      <w:pPr>
        <w:pStyle w:val="ECHRPara"/>
        <w:rPr>
          <w:rStyle w:val="sb8d990e2"/>
        </w:rPr>
      </w:pPr>
      <w:r>
        <w:rPr>
          <w:rStyle w:val="sb8d990e2"/>
        </w:rPr>
        <w:t xml:space="preserve">– </w:t>
      </w:r>
      <w:r w:rsidR="0059350F" w:rsidRPr="00A95B8D">
        <w:rPr>
          <w:rStyle w:val="sb8d990e2"/>
        </w:rPr>
        <w:t>lorsqu</w:t>
      </w:r>
      <w:r w:rsidR="00AE1D81">
        <w:rPr>
          <w:rStyle w:val="sb8d990e2"/>
        </w:rPr>
        <w:t>’</w:t>
      </w:r>
      <w:r w:rsidR="0059350F" w:rsidRPr="00A95B8D">
        <w:rPr>
          <w:rStyle w:val="sb8d990e2"/>
        </w:rPr>
        <w:t xml:space="preserve">elle est saisie sur ce </w:t>
      </w:r>
      <w:r w:rsidR="001F04DE">
        <w:rPr>
          <w:rStyle w:val="sb8d990e2"/>
        </w:rPr>
        <w:t>terrain</w:t>
      </w:r>
      <w:r w:rsidR="001F04DE" w:rsidRPr="00A95B8D">
        <w:rPr>
          <w:rStyle w:val="sb8d990e2"/>
        </w:rPr>
        <w:t xml:space="preserve"> </w:t>
      </w:r>
      <w:r w:rsidR="0059350F" w:rsidRPr="00A95B8D">
        <w:rPr>
          <w:rStyle w:val="sb8d990e2"/>
        </w:rPr>
        <w:t>d</w:t>
      </w:r>
      <w:r w:rsidR="00AE1D81">
        <w:rPr>
          <w:rStyle w:val="sb8d990e2"/>
        </w:rPr>
        <w:t>’</w:t>
      </w:r>
      <w:r w:rsidR="0059350F" w:rsidRPr="00A95B8D">
        <w:rPr>
          <w:rStyle w:val="sb8d990e2"/>
        </w:rPr>
        <w:t>une allégation de violation de l</w:t>
      </w:r>
      <w:r w:rsidR="00AE1D81">
        <w:rPr>
          <w:rStyle w:val="sb8d990e2"/>
        </w:rPr>
        <w:t>’</w:t>
      </w:r>
      <w:r w:rsidR="0059350F" w:rsidRPr="00A95B8D">
        <w:rPr>
          <w:rStyle w:val="sb8d990e2"/>
        </w:rPr>
        <w:t>article 6 § 1, la tâche de la Cour consiste à s</w:t>
      </w:r>
      <w:r w:rsidR="00AE1D81">
        <w:rPr>
          <w:rStyle w:val="sb8d990e2"/>
        </w:rPr>
        <w:t>’</w:t>
      </w:r>
      <w:r w:rsidR="0059350F" w:rsidRPr="00A95B8D">
        <w:rPr>
          <w:rStyle w:val="sb8d990e2"/>
        </w:rPr>
        <w:t>assurer que la décision de refus critiquée devant elle est dûment assortie de tels motifs</w:t>
      </w:r>
      <w:r w:rsidR="0059350F">
        <w:rPr>
          <w:rStyle w:val="sb8d990e2"/>
        </w:rPr>
        <w:t> ;</w:t>
      </w:r>
    </w:p>
    <w:p w:rsidR="0059350F" w:rsidRPr="00A95B8D" w:rsidRDefault="002E4237" w:rsidP="0059350F">
      <w:pPr>
        <w:pStyle w:val="ECHRPara"/>
      </w:pPr>
      <w:r>
        <w:rPr>
          <w:rStyle w:val="sb8d990e2"/>
        </w:rPr>
        <w:t>–</w:t>
      </w:r>
      <w:r w:rsidRPr="00A95B8D">
        <w:rPr>
          <w:rStyle w:val="sb8d990e2"/>
        </w:rPr>
        <w:t xml:space="preserve"> </w:t>
      </w:r>
      <w:r w:rsidR="0059350F" w:rsidRPr="00A95B8D">
        <w:rPr>
          <w:rStyle w:val="sb8d990e2"/>
        </w:rPr>
        <w:t>s</w:t>
      </w:r>
      <w:r w:rsidR="00AE1D81">
        <w:rPr>
          <w:rStyle w:val="sb8d990e2"/>
        </w:rPr>
        <w:t>’</w:t>
      </w:r>
      <w:r w:rsidR="0059350F" w:rsidRPr="00A95B8D">
        <w:rPr>
          <w:rStyle w:val="sb8d990e2"/>
        </w:rPr>
        <w:t>il lui revient de procéder rigoureusement à cette vérification, il ne lui appartient pas de connaître d</w:t>
      </w:r>
      <w:r w:rsidR="00AE1D81">
        <w:rPr>
          <w:rStyle w:val="sb8d990e2"/>
        </w:rPr>
        <w:t>’</w:t>
      </w:r>
      <w:r w:rsidR="001F04DE">
        <w:rPr>
          <w:rStyle w:val="sb8d990e2"/>
        </w:rPr>
        <w:t xml:space="preserve">éventuelles </w:t>
      </w:r>
      <w:r w:rsidR="0059350F" w:rsidRPr="00A95B8D">
        <w:rPr>
          <w:rStyle w:val="sb8d990e2"/>
        </w:rPr>
        <w:t>erreurs qu</w:t>
      </w:r>
      <w:r w:rsidR="00AE1D81">
        <w:rPr>
          <w:rStyle w:val="sb8d990e2"/>
        </w:rPr>
        <w:t>’</w:t>
      </w:r>
      <w:r w:rsidR="0059350F" w:rsidRPr="00A95B8D">
        <w:rPr>
          <w:rStyle w:val="sb8d990e2"/>
        </w:rPr>
        <w:t>auraient commises les juridictions internes dans l</w:t>
      </w:r>
      <w:r w:rsidR="00AE1D81">
        <w:rPr>
          <w:rStyle w:val="sb8d990e2"/>
        </w:rPr>
        <w:t>’</w:t>
      </w:r>
      <w:r w:rsidR="0059350F" w:rsidRPr="00A95B8D">
        <w:rPr>
          <w:rStyle w:val="sb8d990e2"/>
        </w:rPr>
        <w:t>interprétation ou l</w:t>
      </w:r>
      <w:r w:rsidR="00AE1D81">
        <w:rPr>
          <w:rStyle w:val="sb8d990e2"/>
        </w:rPr>
        <w:t>’</w:t>
      </w:r>
      <w:r w:rsidR="0059350F" w:rsidRPr="00A95B8D">
        <w:rPr>
          <w:rStyle w:val="sb8d990e2"/>
        </w:rPr>
        <w:t>application du droit pertinent</w:t>
      </w:r>
      <w:r w:rsidR="0059350F">
        <w:rPr>
          <w:rStyle w:val="sb8d990e2"/>
        </w:rPr>
        <w:t> ;</w:t>
      </w:r>
    </w:p>
    <w:p w:rsidR="0059350F" w:rsidRDefault="002E4237" w:rsidP="0059350F">
      <w:pPr>
        <w:pStyle w:val="ECHRPara"/>
        <w:rPr>
          <w:rStyle w:val="sb8d990e2"/>
        </w:rPr>
      </w:pPr>
      <w:r>
        <w:rPr>
          <w:rStyle w:val="sb8d990e2"/>
        </w:rPr>
        <w:t>–</w:t>
      </w:r>
      <w:r w:rsidRPr="00A95B8D">
        <w:rPr>
          <w:rStyle w:val="sb8d990e2"/>
        </w:rPr>
        <w:t xml:space="preserve"> </w:t>
      </w:r>
      <w:r w:rsidR="0059350F" w:rsidRPr="00A95B8D">
        <w:rPr>
          <w:rStyle w:val="sb8d990e2"/>
        </w:rPr>
        <w:t>dans le cadre spécifique du troisième alinéa de l</w:t>
      </w:r>
      <w:r w:rsidR="00AE1D81">
        <w:rPr>
          <w:rStyle w:val="sb8d990e2"/>
        </w:rPr>
        <w:t>’</w:t>
      </w:r>
      <w:r w:rsidR="0059350F" w:rsidRPr="00A95B8D">
        <w:rPr>
          <w:rStyle w:val="sb8d990e2"/>
        </w:rPr>
        <w:t>article 234 du Traité instituant la Communauté européenne (soit l</w:t>
      </w:r>
      <w:r w:rsidR="00AE1D81">
        <w:rPr>
          <w:rStyle w:val="sb8d990e2"/>
        </w:rPr>
        <w:t>’</w:t>
      </w:r>
      <w:r w:rsidR="0059350F" w:rsidRPr="00A95B8D">
        <w:rPr>
          <w:rStyle w:val="sb8d990e2"/>
        </w:rPr>
        <w:t xml:space="preserve">actuel article 267 du </w:t>
      </w:r>
      <w:r w:rsidR="001F04DE">
        <w:rPr>
          <w:rStyle w:val="sb8d990e2"/>
        </w:rPr>
        <w:t>Traité sur le fonctionnement de l</w:t>
      </w:r>
      <w:r w:rsidR="00AE1D81">
        <w:rPr>
          <w:rStyle w:val="sb8d990e2"/>
        </w:rPr>
        <w:t>’</w:t>
      </w:r>
      <w:r w:rsidR="001F04DE">
        <w:rPr>
          <w:rStyle w:val="sb8d990e2"/>
        </w:rPr>
        <w:t>Union (</w:t>
      </w:r>
      <w:r w:rsidR="0059350F" w:rsidRPr="00A95B8D">
        <w:rPr>
          <w:rStyle w:val="sb8d990e2"/>
        </w:rPr>
        <w:t>TFUE</w:t>
      </w:r>
      <w:r w:rsidR="001F04DE">
        <w:rPr>
          <w:rStyle w:val="sb8d990e2"/>
        </w:rPr>
        <w:t>)</w:t>
      </w:r>
      <w:r w:rsidR="0059350F" w:rsidRPr="00A95B8D">
        <w:rPr>
          <w:rStyle w:val="sb8d990e2"/>
        </w:rPr>
        <w:t>)</w:t>
      </w:r>
      <w:r w:rsidR="005C3192">
        <w:rPr>
          <w:rStyle w:val="sb8d990e2"/>
        </w:rPr>
        <w:t xml:space="preserve">, </w:t>
      </w:r>
      <w:r w:rsidR="0059350F" w:rsidRPr="00A95B8D">
        <w:rPr>
          <w:rStyle w:val="sb8d990e2"/>
        </w:rPr>
        <w:t>cela signifie que les juridictions nationales dont les décisions ne sont pas susceptibles d</w:t>
      </w:r>
      <w:r w:rsidR="00AE1D81">
        <w:rPr>
          <w:rStyle w:val="sb8d990e2"/>
        </w:rPr>
        <w:t>’</w:t>
      </w:r>
      <w:r w:rsidR="0059350F" w:rsidRPr="00A95B8D">
        <w:rPr>
          <w:rStyle w:val="sb8d990e2"/>
        </w:rPr>
        <w:t xml:space="preserve">un recours juridictionnel de droit interne </w:t>
      </w:r>
      <w:r w:rsidR="00EE0E13" w:rsidRPr="005629EA">
        <w:t xml:space="preserve">sont tenues, </w:t>
      </w:r>
      <w:r w:rsidR="00EE0E13">
        <w:rPr>
          <w:rStyle w:val="sb8d990e2"/>
        </w:rPr>
        <w:t>lorsqu</w:t>
      </w:r>
      <w:r w:rsidR="00AE1D81">
        <w:rPr>
          <w:rStyle w:val="sb8d990e2"/>
        </w:rPr>
        <w:t>’</w:t>
      </w:r>
      <w:r w:rsidR="00EE0E13">
        <w:rPr>
          <w:rStyle w:val="sb8d990e2"/>
        </w:rPr>
        <w:t>elles</w:t>
      </w:r>
      <w:r w:rsidR="00EE0E13" w:rsidRPr="00A95B8D">
        <w:rPr>
          <w:rStyle w:val="sb8d990e2"/>
        </w:rPr>
        <w:t xml:space="preserve"> </w:t>
      </w:r>
      <w:r w:rsidR="0059350F" w:rsidRPr="00A95B8D">
        <w:rPr>
          <w:rStyle w:val="sb8d990e2"/>
        </w:rPr>
        <w:t>refusent de saisir la CJUE à titre préjudiciel d</w:t>
      </w:r>
      <w:r w:rsidR="00AE1D81">
        <w:rPr>
          <w:rStyle w:val="sb8d990e2"/>
        </w:rPr>
        <w:t>’</w:t>
      </w:r>
      <w:r w:rsidR="0059350F" w:rsidRPr="00A95B8D">
        <w:rPr>
          <w:rStyle w:val="sb8d990e2"/>
        </w:rPr>
        <w:t xml:space="preserve">une </w:t>
      </w:r>
      <w:r w:rsidR="0059350F" w:rsidRPr="00A95B8D">
        <w:rPr>
          <w:rStyle w:val="wordhighlighted"/>
        </w:rPr>
        <w:t>question</w:t>
      </w:r>
      <w:r w:rsidR="0059350F" w:rsidRPr="00A95B8D">
        <w:rPr>
          <w:rStyle w:val="sb8d990e2"/>
        </w:rPr>
        <w:t xml:space="preserve"> relative à l</w:t>
      </w:r>
      <w:r w:rsidR="00AE1D81">
        <w:rPr>
          <w:rStyle w:val="sb8d990e2"/>
        </w:rPr>
        <w:t>’</w:t>
      </w:r>
      <w:r w:rsidR="0059350F" w:rsidRPr="00A95B8D">
        <w:rPr>
          <w:rStyle w:val="sb8d990e2"/>
        </w:rPr>
        <w:t>interprétation du droit de l</w:t>
      </w:r>
      <w:r w:rsidR="00AE1D81">
        <w:rPr>
          <w:rStyle w:val="sb8d990e2"/>
        </w:rPr>
        <w:t>’</w:t>
      </w:r>
      <w:r w:rsidR="0059350F" w:rsidRPr="00A95B8D">
        <w:rPr>
          <w:rStyle w:val="sb8d990e2"/>
        </w:rPr>
        <w:t xml:space="preserve">UE soulevée devant elles, de motiver leur refus au regard des exceptions prévues par la jurisprudence de la Cour de justice. Il leur faut donc indiquer les raisons pour lesquelles elles considèrent que la </w:t>
      </w:r>
      <w:r w:rsidR="0059350F" w:rsidRPr="00A95B8D">
        <w:rPr>
          <w:rStyle w:val="wordhighlighted"/>
        </w:rPr>
        <w:t>question</w:t>
      </w:r>
      <w:r w:rsidR="0059350F" w:rsidRPr="00A95B8D">
        <w:rPr>
          <w:rStyle w:val="sb8d990e2"/>
        </w:rPr>
        <w:t xml:space="preserve"> n</w:t>
      </w:r>
      <w:r w:rsidR="00AE1D81">
        <w:rPr>
          <w:rStyle w:val="sb8d990e2"/>
        </w:rPr>
        <w:t>’</w:t>
      </w:r>
      <w:r w:rsidR="0059350F" w:rsidRPr="00A95B8D">
        <w:rPr>
          <w:rStyle w:val="sb8d990e2"/>
        </w:rPr>
        <w:t xml:space="preserve">est pas pertinente, </w:t>
      </w:r>
      <w:r w:rsidR="00F0130D">
        <w:rPr>
          <w:rStyle w:val="sb8d990e2"/>
        </w:rPr>
        <w:t xml:space="preserve">ou </w:t>
      </w:r>
      <w:r w:rsidR="0059350F" w:rsidRPr="00A95B8D">
        <w:rPr>
          <w:rStyle w:val="sb8d990e2"/>
        </w:rPr>
        <w:t>que la disposition de droit de l</w:t>
      </w:r>
      <w:r w:rsidR="00AE1D81">
        <w:rPr>
          <w:rStyle w:val="sb8d990e2"/>
        </w:rPr>
        <w:t>’</w:t>
      </w:r>
      <w:r w:rsidR="0059350F" w:rsidRPr="00A95B8D">
        <w:rPr>
          <w:rStyle w:val="sb8d990e2"/>
        </w:rPr>
        <w:t>UE en cause a déjà fait l</w:t>
      </w:r>
      <w:r w:rsidR="00AE1D81">
        <w:rPr>
          <w:rStyle w:val="sb8d990e2"/>
        </w:rPr>
        <w:t>’</w:t>
      </w:r>
      <w:r w:rsidR="0059350F" w:rsidRPr="00A95B8D">
        <w:rPr>
          <w:rStyle w:val="sb8d990e2"/>
        </w:rPr>
        <w:t>objet d</w:t>
      </w:r>
      <w:r w:rsidR="00AE1D81">
        <w:rPr>
          <w:rStyle w:val="sb8d990e2"/>
        </w:rPr>
        <w:t>’</w:t>
      </w:r>
      <w:r w:rsidR="0059350F" w:rsidRPr="00A95B8D">
        <w:rPr>
          <w:rStyle w:val="sb8d990e2"/>
        </w:rPr>
        <w:t>une interprétation de la part de la CJUE</w:t>
      </w:r>
      <w:r w:rsidR="00F0130D">
        <w:rPr>
          <w:rStyle w:val="sb8d990e2"/>
        </w:rPr>
        <w:t>,</w:t>
      </w:r>
      <w:r w:rsidR="0059350F" w:rsidRPr="00A95B8D">
        <w:rPr>
          <w:rStyle w:val="sb8d990e2"/>
        </w:rPr>
        <w:t xml:space="preserve"> ou </w:t>
      </w:r>
      <w:r w:rsidR="00F0130D">
        <w:rPr>
          <w:rStyle w:val="sb8d990e2"/>
        </w:rPr>
        <w:t xml:space="preserve">encore </w:t>
      </w:r>
      <w:r w:rsidR="0059350F" w:rsidRPr="00A95B8D">
        <w:rPr>
          <w:rStyle w:val="sb8d990e2"/>
        </w:rPr>
        <w:t>que l</w:t>
      </w:r>
      <w:r w:rsidR="00AE1D81">
        <w:rPr>
          <w:rStyle w:val="sb8d990e2"/>
        </w:rPr>
        <w:t>’</w:t>
      </w:r>
      <w:r w:rsidR="0059350F" w:rsidRPr="00A95B8D">
        <w:rPr>
          <w:rStyle w:val="sb8d990e2"/>
        </w:rPr>
        <w:t>application correcte du droit de l</w:t>
      </w:r>
      <w:r w:rsidR="00AE1D81">
        <w:rPr>
          <w:rStyle w:val="sb8d990e2"/>
        </w:rPr>
        <w:t>’</w:t>
      </w:r>
      <w:r w:rsidR="0059350F" w:rsidRPr="00A95B8D">
        <w:rPr>
          <w:rStyle w:val="sb8d990e2"/>
        </w:rPr>
        <w:t>UE s</w:t>
      </w:r>
      <w:r w:rsidR="00AE1D81">
        <w:rPr>
          <w:rStyle w:val="sb8d990e2"/>
        </w:rPr>
        <w:t>’</w:t>
      </w:r>
      <w:r w:rsidR="0059350F" w:rsidRPr="00A95B8D">
        <w:rPr>
          <w:rStyle w:val="sb8d990e2"/>
        </w:rPr>
        <w:t>impose avec une telle évidence qu</w:t>
      </w:r>
      <w:r w:rsidR="00AE1D81">
        <w:rPr>
          <w:rStyle w:val="sb8d990e2"/>
        </w:rPr>
        <w:t>’</w:t>
      </w:r>
      <w:r w:rsidR="0059350F" w:rsidRPr="00A95B8D">
        <w:rPr>
          <w:rStyle w:val="sb8d990e2"/>
        </w:rPr>
        <w:t>elle ne laisse place à aucun doute raisonnable.</w:t>
      </w:r>
    </w:p>
    <w:p w:rsidR="0059350F" w:rsidRDefault="0059350F" w:rsidP="0059350F">
      <w:pPr>
        <w:pStyle w:val="ECHRPara"/>
        <w:rPr>
          <w:rStyle w:val="sb8d990e2"/>
        </w:rPr>
      </w:pPr>
      <w:r>
        <w:rPr>
          <w:rStyle w:val="sb8d990e2"/>
        </w:rPr>
        <w:fldChar w:fldCharType="begin"/>
      </w:r>
      <w:r>
        <w:rPr>
          <w:rStyle w:val="sb8d990e2"/>
        </w:rPr>
        <w:instrText xml:space="preserve"> SEQ level0 \*arabic </w:instrText>
      </w:r>
      <w:r>
        <w:rPr>
          <w:rStyle w:val="sb8d990e2"/>
        </w:rPr>
        <w:fldChar w:fldCharType="separate"/>
      </w:r>
      <w:r w:rsidR="00F44484">
        <w:rPr>
          <w:rStyle w:val="sb8d990e2"/>
          <w:noProof/>
        </w:rPr>
        <w:t>32</w:t>
      </w:r>
      <w:r>
        <w:rPr>
          <w:rStyle w:val="sb8d990e2"/>
        </w:rPr>
        <w:fldChar w:fldCharType="end"/>
      </w:r>
      <w:r>
        <w:rPr>
          <w:rStyle w:val="sb8d990e2"/>
        </w:rPr>
        <w:t>.  En l</w:t>
      </w:r>
      <w:r w:rsidR="00AE1D81">
        <w:rPr>
          <w:rStyle w:val="sb8d990e2"/>
        </w:rPr>
        <w:t>’</w:t>
      </w:r>
      <w:r>
        <w:rPr>
          <w:rStyle w:val="sb8d990e2"/>
        </w:rPr>
        <w:t xml:space="preserve">espèce, le requérant a </w:t>
      </w:r>
      <w:r w:rsidR="00535BE5">
        <w:rPr>
          <w:rStyle w:val="sb8d990e2"/>
        </w:rPr>
        <w:t>demandé à</w:t>
      </w:r>
      <w:r>
        <w:rPr>
          <w:rStyle w:val="sb8d990e2"/>
        </w:rPr>
        <w:t xml:space="preserve"> la Cour de cassation</w:t>
      </w:r>
      <w:r w:rsidR="00535BE5">
        <w:rPr>
          <w:rStyle w:val="sb8d990e2"/>
        </w:rPr>
        <w:t xml:space="preserve"> </w:t>
      </w:r>
      <w:r w:rsidR="00392E3B">
        <w:rPr>
          <w:rStyle w:val="sb8d990e2"/>
        </w:rPr>
        <w:t xml:space="preserve">de poser à la </w:t>
      </w:r>
      <w:r w:rsidR="0078054A">
        <w:rPr>
          <w:rStyle w:val="sb8d990e2"/>
        </w:rPr>
        <w:t>CJUE</w:t>
      </w:r>
      <w:r w:rsidR="00392E3B">
        <w:rPr>
          <w:rStyle w:val="sb8d990e2"/>
        </w:rPr>
        <w:t xml:space="preserve"> la question préjudicielle de savoir si l</w:t>
      </w:r>
      <w:r w:rsidR="00AE1D81">
        <w:rPr>
          <w:rStyle w:val="sb8d990e2"/>
        </w:rPr>
        <w:t>’</w:t>
      </w:r>
      <w:r w:rsidR="00392E3B">
        <w:rPr>
          <w:rStyle w:val="sb8d990e2"/>
        </w:rPr>
        <w:t>article 65 de l</w:t>
      </w:r>
      <w:r w:rsidR="00AE1D81">
        <w:rPr>
          <w:rStyle w:val="sb8d990e2"/>
        </w:rPr>
        <w:t>’</w:t>
      </w:r>
      <w:r w:rsidR="00392E3B">
        <w:rPr>
          <w:rStyle w:val="sb8d990e2"/>
        </w:rPr>
        <w:t xml:space="preserve">Accord </w:t>
      </w:r>
      <w:r w:rsidR="00FE49FA">
        <w:rPr>
          <w:rStyle w:val="sb8d990e2"/>
        </w:rPr>
        <w:t>euro</w:t>
      </w:r>
      <w:r w:rsidR="00392E3B">
        <w:rPr>
          <w:rStyle w:val="sb8d990e2"/>
        </w:rPr>
        <w:t>-méditerranéen permettait de refuser à un travailleur tunisien l</w:t>
      </w:r>
      <w:r w:rsidR="00AE1D81">
        <w:rPr>
          <w:rStyle w:val="sb8d990e2"/>
        </w:rPr>
        <w:t>’</w:t>
      </w:r>
      <w:r w:rsidR="00392E3B">
        <w:rPr>
          <w:rStyle w:val="sb8d990e2"/>
        </w:rPr>
        <w:t xml:space="preserve">allocation </w:t>
      </w:r>
      <w:r w:rsidR="00F0130D">
        <w:rPr>
          <w:rStyle w:val="sb8d990e2"/>
        </w:rPr>
        <w:t xml:space="preserve">de foyer </w:t>
      </w:r>
      <w:r w:rsidR="00392E3B">
        <w:rPr>
          <w:rStyle w:val="sb8d990e2"/>
        </w:rPr>
        <w:t>familial prévue par l</w:t>
      </w:r>
      <w:r w:rsidR="00AE1D81">
        <w:rPr>
          <w:rStyle w:val="sb8d990e2"/>
        </w:rPr>
        <w:t>’</w:t>
      </w:r>
      <w:r w:rsidR="00392E3B">
        <w:rPr>
          <w:rStyle w:val="sb8d990e2"/>
        </w:rPr>
        <w:t>article 65 de la loi n</w:t>
      </w:r>
      <w:r w:rsidR="00143C2E" w:rsidRPr="00143C2E">
        <w:rPr>
          <w:rStyle w:val="sb8d990e2"/>
          <w:vertAlign w:val="superscript"/>
        </w:rPr>
        <w:t>o</w:t>
      </w:r>
      <w:r w:rsidR="00E6035D">
        <w:rPr>
          <w:rStyle w:val="sb8d990e2"/>
        </w:rPr>
        <w:t> </w:t>
      </w:r>
      <w:r w:rsidR="00392E3B">
        <w:rPr>
          <w:rStyle w:val="sb8d990e2"/>
        </w:rPr>
        <w:t xml:space="preserve">448 de 1998 (paragraphes </w:t>
      </w:r>
      <w:r w:rsidR="00354002">
        <w:rPr>
          <w:noProof/>
        </w:rPr>
        <w:t>10</w:t>
      </w:r>
      <w:r w:rsidR="00392E3B">
        <w:rPr>
          <w:rStyle w:val="sb8d990e2"/>
        </w:rPr>
        <w:t xml:space="preserve"> et </w:t>
      </w:r>
      <w:r w:rsidR="00354002">
        <w:rPr>
          <w:noProof/>
        </w:rPr>
        <w:t>12</w:t>
      </w:r>
      <w:r w:rsidR="00392E3B">
        <w:rPr>
          <w:rStyle w:val="sb8d990e2"/>
        </w:rPr>
        <w:t xml:space="preserve"> ci-dessus).</w:t>
      </w:r>
      <w:r>
        <w:rPr>
          <w:rStyle w:val="sb8d990e2"/>
        </w:rPr>
        <w:t xml:space="preserve"> </w:t>
      </w:r>
      <w:r w:rsidR="00F0130D">
        <w:rPr>
          <w:rStyle w:val="sb8d990e2"/>
        </w:rPr>
        <w:t>S</w:t>
      </w:r>
      <w:r w:rsidR="00392E3B" w:rsidRPr="00A95B8D">
        <w:rPr>
          <w:rStyle w:val="sb8d990e2"/>
        </w:rPr>
        <w:t>es décisions n</w:t>
      </w:r>
      <w:r w:rsidR="00AE1D81">
        <w:rPr>
          <w:rStyle w:val="sb8d990e2"/>
        </w:rPr>
        <w:t>’</w:t>
      </w:r>
      <w:r w:rsidR="00392E3B">
        <w:rPr>
          <w:rStyle w:val="sb8d990e2"/>
        </w:rPr>
        <w:t>étant</w:t>
      </w:r>
      <w:r w:rsidR="00392E3B" w:rsidRPr="00A95B8D">
        <w:rPr>
          <w:rStyle w:val="sb8d990e2"/>
        </w:rPr>
        <w:t xml:space="preserve"> susceptibles d</w:t>
      </w:r>
      <w:r w:rsidR="00AE1D81">
        <w:rPr>
          <w:rStyle w:val="sb8d990e2"/>
        </w:rPr>
        <w:t>’</w:t>
      </w:r>
      <w:r w:rsidR="00F0130D">
        <w:rPr>
          <w:rStyle w:val="sb8d990e2"/>
        </w:rPr>
        <w:t>auc</w:t>
      </w:r>
      <w:r w:rsidR="00392E3B" w:rsidRPr="00A95B8D">
        <w:rPr>
          <w:rStyle w:val="sb8d990e2"/>
        </w:rPr>
        <w:t xml:space="preserve">un recours juridictionnel </w:t>
      </w:r>
      <w:r w:rsidR="00F0130D">
        <w:rPr>
          <w:rStyle w:val="sb8d990e2"/>
        </w:rPr>
        <w:t>en</w:t>
      </w:r>
      <w:r w:rsidR="00F0130D" w:rsidRPr="00A95B8D">
        <w:rPr>
          <w:rStyle w:val="sb8d990e2"/>
        </w:rPr>
        <w:t xml:space="preserve"> </w:t>
      </w:r>
      <w:r w:rsidR="00392E3B" w:rsidRPr="00A95B8D">
        <w:rPr>
          <w:rStyle w:val="sb8d990e2"/>
        </w:rPr>
        <w:t>droit interne</w:t>
      </w:r>
      <w:r w:rsidR="00F0130D">
        <w:rPr>
          <w:rStyle w:val="sb8d990e2"/>
        </w:rPr>
        <w:t xml:space="preserve">, la Cour de cassation </w:t>
      </w:r>
      <w:r w:rsidR="00392E3B">
        <w:rPr>
          <w:rStyle w:val="sb8d990e2"/>
        </w:rPr>
        <w:t>avait l</w:t>
      </w:r>
      <w:r w:rsidR="00AE1D81">
        <w:rPr>
          <w:rStyle w:val="sb8d990e2"/>
        </w:rPr>
        <w:t>’</w:t>
      </w:r>
      <w:r w:rsidR="00392E3B">
        <w:rPr>
          <w:rStyle w:val="sb8d990e2"/>
        </w:rPr>
        <w:t xml:space="preserve">obligation de </w:t>
      </w:r>
      <w:r w:rsidR="00392E3B" w:rsidRPr="00A95B8D">
        <w:rPr>
          <w:rStyle w:val="sb8d990e2"/>
        </w:rPr>
        <w:t xml:space="preserve">motiver </w:t>
      </w:r>
      <w:r w:rsidR="00392E3B">
        <w:rPr>
          <w:rStyle w:val="sb8d990e2"/>
        </w:rPr>
        <w:t>son</w:t>
      </w:r>
      <w:r w:rsidR="00392E3B" w:rsidRPr="00A95B8D">
        <w:rPr>
          <w:rStyle w:val="sb8d990e2"/>
        </w:rPr>
        <w:t xml:space="preserve"> refus</w:t>
      </w:r>
      <w:r w:rsidR="00392E3B">
        <w:rPr>
          <w:rStyle w:val="sb8d990e2"/>
        </w:rPr>
        <w:t xml:space="preserve"> de poser la question préjudicielle</w:t>
      </w:r>
      <w:r w:rsidR="00392E3B" w:rsidRPr="00A95B8D">
        <w:rPr>
          <w:rStyle w:val="sb8d990e2"/>
        </w:rPr>
        <w:t xml:space="preserve"> au regard des exceptions prévues par la jurisprudence de la </w:t>
      </w:r>
      <w:r w:rsidR="0078054A">
        <w:rPr>
          <w:rStyle w:val="sb8d990e2"/>
        </w:rPr>
        <w:t>CJUE</w:t>
      </w:r>
      <w:r w:rsidR="00392E3B">
        <w:rPr>
          <w:rStyle w:val="sb8d990e2"/>
        </w:rPr>
        <w:t>.</w:t>
      </w:r>
    </w:p>
    <w:p w:rsidR="00240E1A" w:rsidRDefault="00392E3B" w:rsidP="0059350F">
      <w:pPr>
        <w:pStyle w:val="ECHRPara"/>
        <w:rPr>
          <w:rStyle w:val="sb8d990e2"/>
        </w:rPr>
      </w:pPr>
      <w:r>
        <w:rPr>
          <w:rStyle w:val="sb8d990e2"/>
        </w:rPr>
        <w:fldChar w:fldCharType="begin"/>
      </w:r>
      <w:r>
        <w:rPr>
          <w:rStyle w:val="sb8d990e2"/>
        </w:rPr>
        <w:instrText xml:space="preserve"> SEQ level0 \*arabic </w:instrText>
      </w:r>
      <w:r>
        <w:rPr>
          <w:rStyle w:val="sb8d990e2"/>
        </w:rPr>
        <w:fldChar w:fldCharType="separate"/>
      </w:r>
      <w:r w:rsidR="00F44484">
        <w:rPr>
          <w:rStyle w:val="sb8d990e2"/>
          <w:noProof/>
        </w:rPr>
        <w:t>33</w:t>
      </w:r>
      <w:r>
        <w:rPr>
          <w:rStyle w:val="sb8d990e2"/>
        </w:rPr>
        <w:fldChar w:fldCharType="end"/>
      </w:r>
      <w:r>
        <w:rPr>
          <w:rStyle w:val="sb8d990e2"/>
        </w:rPr>
        <w:t>.  </w:t>
      </w:r>
      <w:r w:rsidR="0078054A">
        <w:rPr>
          <w:rStyle w:val="sb8d990e2"/>
        </w:rPr>
        <w:t>L</w:t>
      </w:r>
      <w:r w:rsidR="000878AC">
        <w:rPr>
          <w:rStyle w:val="sb8d990e2"/>
        </w:rPr>
        <w:t xml:space="preserve">a Cour a examiné </w:t>
      </w:r>
      <w:r>
        <w:rPr>
          <w:rStyle w:val="sb8d990e2"/>
        </w:rPr>
        <w:t>l</w:t>
      </w:r>
      <w:r w:rsidR="00AE1D81">
        <w:rPr>
          <w:rStyle w:val="sb8d990e2"/>
        </w:rPr>
        <w:t>’</w:t>
      </w:r>
      <w:r>
        <w:rPr>
          <w:rStyle w:val="sb8d990e2"/>
        </w:rPr>
        <w:t xml:space="preserve">arrêt de la Cour de cassation du 15 avril 2008 </w:t>
      </w:r>
      <w:r w:rsidR="000878AC">
        <w:rPr>
          <w:rStyle w:val="sb8d990e2"/>
        </w:rPr>
        <w:t>sans y trouver</w:t>
      </w:r>
      <w:r>
        <w:rPr>
          <w:rStyle w:val="sb8d990e2"/>
        </w:rPr>
        <w:t xml:space="preserve"> aucune référence à la </w:t>
      </w:r>
      <w:r w:rsidR="00EE0E13">
        <w:rPr>
          <w:rStyle w:val="sb8d990e2"/>
        </w:rPr>
        <w:t xml:space="preserve">demande de renvoi </w:t>
      </w:r>
      <w:r>
        <w:rPr>
          <w:rStyle w:val="sb8d990e2"/>
        </w:rPr>
        <w:t xml:space="preserve">préjudiciel </w:t>
      </w:r>
      <w:r w:rsidR="00EE0E13">
        <w:rPr>
          <w:rStyle w:val="sb8d990e2"/>
        </w:rPr>
        <w:t xml:space="preserve">formulée </w:t>
      </w:r>
      <w:r>
        <w:rPr>
          <w:rStyle w:val="sb8d990e2"/>
        </w:rPr>
        <w:t>par le requérant</w:t>
      </w:r>
      <w:r w:rsidR="003778BA">
        <w:rPr>
          <w:rStyle w:val="sb8d990e2"/>
        </w:rPr>
        <w:t xml:space="preserve"> et aux raisons pour lesquelles </w:t>
      </w:r>
      <w:r w:rsidR="008C4833">
        <w:rPr>
          <w:rStyle w:val="sb8d990e2"/>
        </w:rPr>
        <w:t xml:space="preserve">il a été considéré que la question soulevée </w:t>
      </w:r>
      <w:r w:rsidR="000B006B">
        <w:rPr>
          <w:rStyle w:val="sb8d990e2"/>
        </w:rPr>
        <w:t>ne méritait pas d</w:t>
      </w:r>
      <w:r w:rsidR="00AE1D81">
        <w:rPr>
          <w:rStyle w:val="sb8d990e2"/>
        </w:rPr>
        <w:t>’</w:t>
      </w:r>
      <w:r w:rsidR="000B006B">
        <w:rPr>
          <w:rStyle w:val="sb8d990e2"/>
        </w:rPr>
        <w:t xml:space="preserve">être </w:t>
      </w:r>
      <w:r w:rsidR="008C4833">
        <w:rPr>
          <w:rStyle w:val="sb8d990e2"/>
        </w:rPr>
        <w:t xml:space="preserve">transmise </w:t>
      </w:r>
      <w:r w:rsidR="008C4833" w:rsidRPr="005629EA">
        <w:t>à la CJUE</w:t>
      </w:r>
      <w:r>
        <w:rPr>
          <w:rStyle w:val="sb8d990e2"/>
        </w:rPr>
        <w:t xml:space="preserve">. </w:t>
      </w:r>
      <w:r w:rsidR="000878AC">
        <w:rPr>
          <w:rStyle w:val="sb8d990e2"/>
        </w:rPr>
        <w:t xml:space="preserve">La motivation de </w:t>
      </w:r>
      <w:r w:rsidR="0078054A">
        <w:rPr>
          <w:rStyle w:val="sb8d990e2"/>
        </w:rPr>
        <w:t>l</w:t>
      </w:r>
      <w:r w:rsidR="00AE1D81">
        <w:rPr>
          <w:rStyle w:val="sb8d990e2"/>
        </w:rPr>
        <w:t>’</w:t>
      </w:r>
      <w:r w:rsidR="000878AC">
        <w:rPr>
          <w:rStyle w:val="sb8d990e2"/>
        </w:rPr>
        <w:t>arrêt</w:t>
      </w:r>
      <w:r w:rsidR="0078054A">
        <w:rPr>
          <w:rStyle w:val="sb8d990e2"/>
        </w:rPr>
        <w:t xml:space="preserve"> litigieux</w:t>
      </w:r>
      <w:r>
        <w:rPr>
          <w:rStyle w:val="sb8d990e2"/>
        </w:rPr>
        <w:t xml:space="preserve"> ne permet donc pas d</w:t>
      </w:r>
      <w:r w:rsidR="00AE1D81">
        <w:rPr>
          <w:rStyle w:val="sb8d990e2"/>
        </w:rPr>
        <w:t>’</w:t>
      </w:r>
      <w:r>
        <w:rPr>
          <w:rStyle w:val="sb8d990e2"/>
        </w:rPr>
        <w:t xml:space="preserve">établir si cette question a été considérée </w:t>
      </w:r>
      <w:r w:rsidR="008C4833">
        <w:rPr>
          <w:rStyle w:val="sb8d990e2"/>
        </w:rPr>
        <w:t xml:space="preserve">comme </w:t>
      </w:r>
      <w:r>
        <w:rPr>
          <w:rStyle w:val="sb8d990e2"/>
        </w:rPr>
        <w:t>non pertinente</w:t>
      </w:r>
      <w:r w:rsidR="008C4833">
        <w:rPr>
          <w:rStyle w:val="sb8d990e2"/>
        </w:rPr>
        <w:t xml:space="preserve">, ou comme </w:t>
      </w:r>
      <w:r w:rsidR="000878AC">
        <w:rPr>
          <w:rStyle w:val="sb8d990e2"/>
        </w:rPr>
        <w:t xml:space="preserve">relative à une disposition claire ou déjà interprétée par la </w:t>
      </w:r>
      <w:r w:rsidR="0078054A">
        <w:rPr>
          <w:rStyle w:val="sb8d990e2"/>
        </w:rPr>
        <w:t>CJUE</w:t>
      </w:r>
      <w:r w:rsidR="008C4833">
        <w:rPr>
          <w:rStyle w:val="sb8d990e2"/>
        </w:rPr>
        <w:t>,</w:t>
      </w:r>
      <w:r w:rsidR="000878AC">
        <w:rPr>
          <w:rStyle w:val="sb8d990e2"/>
        </w:rPr>
        <w:t xml:space="preserve"> ou bien si elle a été simplement ignorée (voir, </w:t>
      </w:r>
      <w:r w:rsidR="000878AC">
        <w:rPr>
          <w:rStyle w:val="sb8d990e2"/>
          <w:i/>
        </w:rPr>
        <w:t>a contrario</w:t>
      </w:r>
      <w:r w:rsidR="000878AC">
        <w:rPr>
          <w:rStyle w:val="sb8d990e2"/>
        </w:rPr>
        <w:t>,</w:t>
      </w:r>
      <w:r w:rsidR="0059350F">
        <w:rPr>
          <w:rStyle w:val="sb8d990e2"/>
        </w:rPr>
        <w:t xml:space="preserve"> </w:t>
      </w:r>
      <w:r w:rsidR="0059350F" w:rsidRPr="00222AB8">
        <w:rPr>
          <w:i/>
        </w:rPr>
        <w:t>Vergauwen</w:t>
      </w:r>
      <w:r w:rsidR="000878AC">
        <w:t>,</w:t>
      </w:r>
      <w:r w:rsidR="0059350F">
        <w:rPr>
          <w:rStyle w:val="sb8d990e2"/>
          <w:i/>
        </w:rPr>
        <w:t xml:space="preserve"> </w:t>
      </w:r>
      <w:r w:rsidR="0059350F">
        <w:rPr>
          <w:rStyle w:val="sb8d990e2"/>
        </w:rPr>
        <w:t>précité</w:t>
      </w:r>
      <w:r w:rsidR="000878AC">
        <w:rPr>
          <w:rStyle w:val="sb8d990e2"/>
        </w:rPr>
        <w:t xml:space="preserve">, </w:t>
      </w:r>
      <w:r w:rsidR="0059350F">
        <w:rPr>
          <w:rStyle w:val="sb8d990e2"/>
        </w:rPr>
        <w:t>§ 91,</w:t>
      </w:r>
      <w:r w:rsidR="000878AC">
        <w:rPr>
          <w:rStyle w:val="sb8d990e2"/>
        </w:rPr>
        <w:t xml:space="preserve"> où la Cour a constaté que</w:t>
      </w:r>
      <w:r w:rsidR="0059350F">
        <w:rPr>
          <w:rStyle w:val="sb8d990e2"/>
        </w:rPr>
        <w:t xml:space="preserve"> la</w:t>
      </w:r>
      <w:r w:rsidR="0059350F" w:rsidRPr="00A95B8D">
        <w:rPr>
          <w:rStyle w:val="sb8d990e2"/>
        </w:rPr>
        <w:t xml:space="preserve"> Cour constitutionnelle </w:t>
      </w:r>
      <w:r w:rsidR="0059350F">
        <w:rPr>
          <w:rStyle w:val="sb8d990e2"/>
        </w:rPr>
        <w:t xml:space="preserve">belge </w:t>
      </w:r>
      <w:r w:rsidR="0059350F" w:rsidRPr="00A95B8D">
        <w:rPr>
          <w:rStyle w:val="sb8d990e2"/>
        </w:rPr>
        <w:t>a</w:t>
      </w:r>
      <w:r w:rsidR="0059350F">
        <w:rPr>
          <w:rStyle w:val="sb8d990e2"/>
        </w:rPr>
        <w:t>vait</w:t>
      </w:r>
      <w:r w:rsidR="0059350F" w:rsidRPr="00A95B8D">
        <w:rPr>
          <w:rStyle w:val="sb8d990e2"/>
        </w:rPr>
        <w:t xml:space="preserve"> dûment motivé s</w:t>
      </w:r>
      <w:r w:rsidR="0078054A">
        <w:rPr>
          <w:rStyle w:val="sb8d990e2"/>
        </w:rPr>
        <w:t>on</w:t>
      </w:r>
      <w:r w:rsidR="0059350F" w:rsidRPr="00A95B8D">
        <w:rPr>
          <w:rStyle w:val="sb8d990e2"/>
        </w:rPr>
        <w:t xml:space="preserve"> refus de poser des </w:t>
      </w:r>
      <w:r w:rsidR="0059350F" w:rsidRPr="00A95B8D">
        <w:rPr>
          <w:rStyle w:val="wordhighlighted"/>
        </w:rPr>
        <w:t>question</w:t>
      </w:r>
      <w:r w:rsidR="0059350F" w:rsidRPr="00A95B8D">
        <w:rPr>
          <w:rStyle w:val="sb8d990e2"/>
        </w:rPr>
        <w:t xml:space="preserve">s </w:t>
      </w:r>
      <w:r w:rsidR="0059350F" w:rsidRPr="00A95B8D">
        <w:rPr>
          <w:rStyle w:val="wordhighlighted"/>
        </w:rPr>
        <w:t>préjudicielle</w:t>
      </w:r>
      <w:r w:rsidR="0059350F" w:rsidRPr="00A95B8D">
        <w:rPr>
          <w:rStyle w:val="sb8d990e2"/>
        </w:rPr>
        <w:t>s</w:t>
      </w:r>
      <w:r w:rsidR="0078054A">
        <w:rPr>
          <w:rStyle w:val="sb8d990e2"/>
        </w:rPr>
        <w:t>)</w:t>
      </w:r>
      <w:r w:rsidR="0059350F">
        <w:rPr>
          <w:rStyle w:val="sb8d990e2"/>
        </w:rPr>
        <w:t>.</w:t>
      </w:r>
      <w:r w:rsidR="0078054A">
        <w:rPr>
          <w:rStyle w:val="sb8d990e2"/>
        </w:rPr>
        <w:t xml:space="preserve"> </w:t>
      </w:r>
      <w:r w:rsidR="000B006B">
        <w:rPr>
          <w:rStyle w:val="sb8d990e2"/>
          <w:rFonts w:cstheme="minorHAnsi"/>
        </w:rPr>
        <w:t>À</w:t>
      </w:r>
      <w:r w:rsidR="000B006B">
        <w:rPr>
          <w:rStyle w:val="sb8d990e2"/>
        </w:rPr>
        <w:t xml:space="preserve"> cet égard, la Cour observe que le raisonnement de la Cour de cassation ne contient aucune référence à la jurisprudence de la CJUE.</w:t>
      </w:r>
    </w:p>
    <w:p w:rsidR="000878AC" w:rsidRPr="00BF7ACF" w:rsidRDefault="000878AC" w:rsidP="0059350F">
      <w:pPr>
        <w:pStyle w:val="ECHRPara"/>
      </w:pPr>
      <w:r>
        <w:rPr>
          <w:rStyle w:val="sb8d990e2"/>
        </w:rPr>
        <w:fldChar w:fldCharType="begin"/>
      </w:r>
      <w:r>
        <w:rPr>
          <w:rStyle w:val="sb8d990e2"/>
        </w:rPr>
        <w:instrText xml:space="preserve"> SEQ level0 \*arabic </w:instrText>
      </w:r>
      <w:r>
        <w:rPr>
          <w:rStyle w:val="sb8d990e2"/>
        </w:rPr>
        <w:fldChar w:fldCharType="separate"/>
      </w:r>
      <w:r w:rsidR="00F44484">
        <w:rPr>
          <w:rStyle w:val="sb8d990e2"/>
          <w:noProof/>
        </w:rPr>
        <w:t>34</w:t>
      </w:r>
      <w:r>
        <w:rPr>
          <w:rStyle w:val="sb8d990e2"/>
        </w:rPr>
        <w:fldChar w:fldCharType="end"/>
      </w:r>
      <w:r>
        <w:rPr>
          <w:rStyle w:val="sb8d990e2"/>
        </w:rPr>
        <w:t>.  Ce constat suffit pour conclure qu</w:t>
      </w:r>
      <w:r w:rsidR="00AE1D81">
        <w:rPr>
          <w:rStyle w:val="sb8d990e2"/>
        </w:rPr>
        <w:t>’</w:t>
      </w:r>
      <w:r>
        <w:rPr>
          <w:rStyle w:val="sb8d990e2"/>
        </w:rPr>
        <w:t>il y a eu violation de l</w:t>
      </w:r>
      <w:r w:rsidR="00AE1D81">
        <w:rPr>
          <w:rStyle w:val="sb8d990e2"/>
        </w:rPr>
        <w:t>’</w:t>
      </w:r>
      <w:r>
        <w:rPr>
          <w:rStyle w:val="sb8d990e2"/>
        </w:rPr>
        <w:t>article 6 § 1 de la Convention.</w:t>
      </w:r>
    </w:p>
    <w:p w:rsidR="00EC6427" w:rsidRPr="00685582" w:rsidRDefault="00240E1A">
      <w:pPr>
        <w:pStyle w:val="ECHRHeading1"/>
      </w:pPr>
      <w:r>
        <w:t>II</w:t>
      </w:r>
      <w:r w:rsidR="00EC6427" w:rsidRPr="00685582">
        <w:t>.  SUR LA VIOLATION ALLÉGUÉE DE L</w:t>
      </w:r>
      <w:r w:rsidR="00AE1D81">
        <w:t>’</w:t>
      </w:r>
      <w:r w:rsidR="00EC6427" w:rsidRPr="00685582">
        <w:t xml:space="preserve">ARTICLE </w:t>
      </w:r>
      <w:r>
        <w:t>14</w:t>
      </w:r>
      <w:r w:rsidR="00AD71DC" w:rsidRPr="00685582">
        <w:t xml:space="preserve"> </w:t>
      </w:r>
      <w:r w:rsidR="00EC6427" w:rsidRPr="00685582">
        <w:t>DE LA CONVENTION</w:t>
      </w:r>
      <w:r>
        <w:t xml:space="preserve"> COMBIN</w:t>
      </w:r>
      <w:r>
        <w:rPr>
          <w:rFonts w:cstheme="majorHAnsi"/>
        </w:rPr>
        <w:t>É</w:t>
      </w:r>
      <w:r>
        <w:t xml:space="preserve"> AVEC L</w:t>
      </w:r>
      <w:r w:rsidR="00AE1D81">
        <w:t>’</w:t>
      </w:r>
      <w:r>
        <w:t>ARTICLE 8</w:t>
      </w:r>
    </w:p>
    <w:p w:rsidR="0033735E" w:rsidRDefault="00F44484" w:rsidP="005B3EB2">
      <w:pPr>
        <w:pStyle w:val="ECHRPara"/>
      </w:pPr>
      <w:r>
        <w:fldChar w:fldCharType="begin"/>
      </w:r>
      <w:r>
        <w:instrText xml:space="preserve"> SEQ level0 \*arabic </w:instrText>
      </w:r>
      <w:r>
        <w:fldChar w:fldCharType="separate"/>
      </w:r>
      <w:r>
        <w:rPr>
          <w:noProof/>
        </w:rPr>
        <w:t>35</w:t>
      </w:r>
      <w:r>
        <w:rPr>
          <w:noProof/>
        </w:rPr>
        <w:fldChar w:fldCharType="end"/>
      </w:r>
      <w:r w:rsidR="00EC6427" w:rsidRPr="00685582">
        <w:t>.  </w:t>
      </w:r>
      <w:r w:rsidR="005B3EB2">
        <w:t xml:space="preserve">Le requérant </w:t>
      </w:r>
      <w:r w:rsidR="008C4833">
        <w:t xml:space="preserve">estime </w:t>
      </w:r>
      <w:r w:rsidR="005B3EB2">
        <w:t>avoir été victime d</w:t>
      </w:r>
      <w:r w:rsidR="00AE1D81">
        <w:t>’</w:t>
      </w:r>
      <w:r w:rsidR="005B3EB2">
        <w:t xml:space="preserve">une discrimination fondée sur sa nationalité </w:t>
      </w:r>
      <w:r w:rsidR="008C4833">
        <w:t>pour l</w:t>
      </w:r>
      <w:r w:rsidR="00AE1D81">
        <w:t>’</w:t>
      </w:r>
      <w:r w:rsidR="008C4833">
        <w:t>obtention du bénéfice</w:t>
      </w:r>
      <w:r w:rsidR="005B3EB2">
        <w:t xml:space="preserve"> de l</w:t>
      </w:r>
      <w:r w:rsidR="00AE1D81">
        <w:t>’</w:t>
      </w:r>
      <w:r w:rsidR="005B3EB2">
        <w:t>allocation prévue par l</w:t>
      </w:r>
      <w:r w:rsidR="00AE1D81">
        <w:t>’</w:t>
      </w:r>
      <w:r w:rsidR="005B3EB2">
        <w:t>article 65 de la loi n</w:t>
      </w:r>
      <w:r w:rsidR="00143C2E" w:rsidRPr="00143C2E">
        <w:rPr>
          <w:vertAlign w:val="superscript"/>
        </w:rPr>
        <w:t>o</w:t>
      </w:r>
      <w:r w:rsidR="005B3EB2">
        <w:t> 448 de 1998.</w:t>
      </w:r>
    </w:p>
    <w:p w:rsidR="005B3EB2" w:rsidRDefault="005B3EB2" w:rsidP="005B3EB2">
      <w:pPr>
        <w:pStyle w:val="ECHRPara"/>
      </w:pPr>
      <w:r>
        <w:t>Il invoque les articles 8 et 14 de la Convention, ainsi libellés :</w:t>
      </w:r>
    </w:p>
    <w:p w:rsidR="005B3EB2" w:rsidRPr="00853495" w:rsidRDefault="005B3EB2" w:rsidP="005B3EB2">
      <w:pPr>
        <w:pStyle w:val="ECHRParaQuote"/>
        <w:ind w:left="0" w:firstLine="0"/>
        <w:jc w:val="center"/>
        <w:rPr>
          <w:b/>
        </w:rPr>
      </w:pPr>
      <w:r w:rsidRPr="00853495">
        <w:rPr>
          <w:b/>
        </w:rPr>
        <w:t>Article 8</w:t>
      </w:r>
    </w:p>
    <w:p w:rsidR="005B3EB2" w:rsidRDefault="005B3EB2" w:rsidP="005B3EB2">
      <w:pPr>
        <w:pStyle w:val="ECHRParaQuote"/>
      </w:pPr>
      <w:r>
        <w:t>« 1.  Toute personne a droit au respect de sa vie privée et familiale, de son domicile et de sa correspondance.</w:t>
      </w:r>
    </w:p>
    <w:p w:rsidR="005B3EB2" w:rsidRDefault="005B3EB2" w:rsidP="005B3EB2">
      <w:pPr>
        <w:pStyle w:val="ECHRParaQuote"/>
      </w:pPr>
      <w:r>
        <w:t>2.  Il ne peut y avoir ingérence d</w:t>
      </w:r>
      <w:r w:rsidR="00AE1D81">
        <w:t>’</w:t>
      </w:r>
      <w:r>
        <w:t>une autorité publique dans l</w:t>
      </w:r>
      <w:r w:rsidR="00AE1D81">
        <w:t>’</w:t>
      </w:r>
      <w:r>
        <w:t>exercice de ce droit que pour autant que cette ingérence est prévue par la loi et qu</w:t>
      </w:r>
      <w:r w:rsidR="00AE1D81">
        <w:t>’</w:t>
      </w:r>
      <w:r>
        <w:t>elle constitue une mesure qui, dans une société démocratique, est nécessaire à la sécurité nationale, à la sûreté publique, au bien</w:t>
      </w:r>
      <w:r>
        <w:noBreakHyphen/>
        <w:t>être économique du pays, à la défense de l</w:t>
      </w:r>
      <w:r w:rsidR="00AE1D81">
        <w:t>’</w:t>
      </w:r>
      <w:r>
        <w:t>ordre et à la prévention des infractions pénales, à la protection de la santé ou de la morale, ou à la protection des droits et libertés d</w:t>
      </w:r>
      <w:r w:rsidR="00AE1D81">
        <w:t>’</w:t>
      </w:r>
      <w:r>
        <w:t>autrui. »</w:t>
      </w:r>
    </w:p>
    <w:p w:rsidR="005B3EB2" w:rsidRPr="00853495" w:rsidRDefault="005B3EB2" w:rsidP="00EB02F3">
      <w:pPr>
        <w:pStyle w:val="ECHRParaQuote"/>
        <w:keepNext/>
        <w:keepLines/>
        <w:ind w:left="0" w:firstLine="0"/>
        <w:jc w:val="center"/>
        <w:rPr>
          <w:b/>
        </w:rPr>
      </w:pPr>
      <w:r w:rsidRPr="00853495">
        <w:rPr>
          <w:b/>
        </w:rPr>
        <w:t>Article 14</w:t>
      </w:r>
    </w:p>
    <w:p w:rsidR="005B3EB2" w:rsidRPr="00685582" w:rsidRDefault="005B3EB2" w:rsidP="00EB02F3">
      <w:pPr>
        <w:pStyle w:val="ECHRParaQuote"/>
        <w:keepNext/>
        <w:keepLines/>
      </w:pPr>
      <w:r>
        <w:t>« La jouissance des droits et libertés reconnus dans la (...) Convention doit être assurée, sans distinction aucune, fondée notamment sur le sexe, la race, la couleur, la langue, la religion, les opinions politiques ou toutes autres opinions, l</w:t>
      </w:r>
      <w:r w:rsidR="00AE1D81">
        <w:t>’</w:t>
      </w:r>
      <w:r>
        <w:t>origine nationale ou sociale, l</w:t>
      </w:r>
      <w:r w:rsidR="00AE1D81">
        <w:t>’</w:t>
      </w:r>
      <w:r>
        <w:t>appartenance à une minorité nationale, la fortune, la naissance ou toute autre situation. »</w:t>
      </w:r>
    </w:p>
    <w:p w:rsidR="005B3EB2" w:rsidRDefault="005B3EB2" w:rsidP="00EB02F3">
      <w:pPr>
        <w:pStyle w:val="ECHRHeading2"/>
        <w:outlineLvl w:val="0"/>
      </w:pPr>
      <w:r w:rsidRPr="00685582">
        <w:t>A.  Sur la recevabilité</w:t>
      </w:r>
    </w:p>
    <w:p w:rsidR="007B6173" w:rsidRDefault="007B6173" w:rsidP="00EB02F3">
      <w:pPr>
        <w:pStyle w:val="ECHRHeading3"/>
      </w:pPr>
      <w:r>
        <w:t>1.  Arguments des parties</w:t>
      </w:r>
    </w:p>
    <w:p w:rsidR="007B6173" w:rsidRPr="00B716CA" w:rsidRDefault="007B6173" w:rsidP="007B6173">
      <w:pPr>
        <w:pStyle w:val="ECHRHeading4"/>
      </w:pPr>
      <w:r>
        <w:t>a)  Le requérant</w:t>
      </w:r>
    </w:p>
    <w:p w:rsidR="0028033B" w:rsidRDefault="00F44484" w:rsidP="007B6173">
      <w:pPr>
        <w:pStyle w:val="ECHRPara"/>
      </w:pPr>
      <w:r>
        <w:fldChar w:fldCharType="begin"/>
      </w:r>
      <w:r>
        <w:instrText xml:space="preserve"> SEQ level0 \*arabic </w:instrText>
      </w:r>
      <w:r>
        <w:fldChar w:fldCharType="separate"/>
      </w:r>
      <w:r>
        <w:rPr>
          <w:noProof/>
        </w:rPr>
        <w:t>36</w:t>
      </w:r>
      <w:r>
        <w:rPr>
          <w:noProof/>
        </w:rPr>
        <w:fldChar w:fldCharType="end"/>
      </w:r>
      <w:r w:rsidR="007B6173">
        <w:t>.  Le requérant</w:t>
      </w:r>
      <w:r w:rsidR="007B6173" w:rsidRPr="008E0E8F">
        <w:t xml:space="preserve"> se réfère à la jurisprudence de la Cour (</w:t>
      </w:r>
      <w:r w:rsidR="0028033B">
        <w:t>citant</w:t>
      </w:r>
      <w:r w:rsidR="007B6173" w:rsidRPr="008E0E8F">
        <w:t>, notamment,</w:t>
      </w:r>
      <w:r w:rsidR="0028033B">
        <w:t xml:space="preserve"> les arrêts</w:t>
      </w:r>
      <w:r w:rsidR="007B6173" w:rsidRPr="008E0E8F">
        <w:t xml:space="preserve"> </w:t>
      </w:r>
      <w:r w:rsidR="007B6173" w:rsidRPr="008E0E8F">
        <w:rPr>
          <w:i/>
        </w:rPr>
        <w:t>Gaygusuz c. Autriche</w:t>
      </w:r>
      <w:r w:rsidR="007B6173" w:rsidRPr="008E0E8F">
        <w:t xml:space="preserve">, 16 septembre 1996, </w:t>
      </w:r>
      <w:r w:rsidR="007B6173" w:rsidRPr="008E0E8F">
        <w:rPr>
          <w:i/>
        </w:rPr>
        <w:t>Recueil des arrêts et décisions</w:t>
      </w:r>
      <w:r w:rsidR="007B6173" w:rsidRPr="008E0E8F">
        <w:t xml:space="preserve"> 1996-IV</w:t>
      </w:r>
      <w:r w:rsidR="00FB67DC">
        <w:t xml:space="preserve"> ; </w:t>
      </w:r>
      <w:r w:rsidR="00FB67DC">
        <w:rPr>
          <w:i/>
        </w:rPr>
        <w:t>Petrovic c. Autriche</w:t>
      </w:r>
      <w:r w:rsidR="00FB67DC">
        <w:t xml:space="preserve">, 27 mars 1998, </w:t>
      </w:r>
      <w:r w:rsidR="00FB67DC">
        <w:rPr>
          <w:i/>
        </w:rPr>
        <w:t xml:space="preserve">Recueil </w:t>
      </w:r>
      <w:r w:rsidR="00FB67DC">
        <w:t xml:space="preserve">1998-II ; </w:t>
      </w:r>
      <w:r w:rsidR="00FB67DC">
        <w:rPr>
          <w:i/>
        </w:rPr>
        <w:t>Niedzwiecki c. Allemagne</w:t>
      </w:r>
      <w:r w:rsidR="00FB67DC">
        <w:t>, n</w:t>
      </w:r>
      <w:r w:rsidR="00143C2E" w:rsidRPr="00143C2E">
        <w:rPr>
          <w:vertAlign w:val="superscript"/>
        </w:rPr>
        <w:t>o</w:t>
      </w:r>
      <w:r w:rsidR="00E6035D">
        <w:t> </w:t>
      </w:r>
      <w:r w:rsidR="00FB67DC">
        <w:t xml:space="preserve">58453/00, 25 octobre 2005 ; </w:t>
      </w:r>
      <w:r w:rsidR="00FB67DC">
        <w:rPr>
          <w:i/>
        </w:rPr>
        <w:t>Okpisz</w:t>
      </w:r>
      <w:r w:rsidR="00A26256">
        <w:rPr>
          <w:i/>
        </w:rPr>
        <w:t> </w:t>
      </w:r>
      <w:r w:rsidR="00FB67DC" w:rsidRPr="008E0E8F">
        <w:rPr>
          <w:i/>
        </w:rPr>
        <w:t>c.</w:t>
      </w:r>
      <w:r w:rsidR="00FB67DC">
        <w:rPr>
          <w:i/>
        </w:rPr>
        <w:t> </w:t>
      </w:r>
      <w:r w:rsidR="00FB67DC" w:rsidRPr="008E0E8F">
        <w:rPr>
          <w:i/>
        </w:rPr>
        <w:t>Allemagne</w:t>
      </w:r>
      <w:r w:rsidR="00FB67DC" w:rsidRPr="008E0E8F">
        <w:t>, n</w:t>
      </w:r>
      <w:r w:rsidR="00143C2E" w:rsidRPr="00143C2E">
        <w:rPr>
          <w:vertAlign w:val="superscript"/>
        </w:rPr>
        <w:t>o</w:t>
      </w:r>
      <w:r w:rsidR="00E6035D">
        <w:t> </w:t>
      </w:r>
      <w:r w:rsidR="00FB67DC" w:rsidRPr="008E0E8F">
        <w:t>59140/00</w:t>
      </w:r>
      <w:r w:rsidR="00284C80">
        <w:t xml:space="preserve">, </w:t>
      </w:r>
      <w:r w:rsidR="00284C80" w:rsidRPr="008E0E8F">
        <w:t>25 octobre 2005</w:t>
      </w:r>
      <w:r w:rsidR="00284C80">
        <w:t> ;</w:t>
      </w:r>
      <w:r w:rsidR="00FB67DC">
        <w:t xml:space="preserve"> </w:t>
      </w:r>
      <w:r w:rsidR="00FB67DC">
        <w:rPr>
          <w:i/>
        </w:rPr>
        <w:t>Weller c. Hongrie</w:t>
      </w:r>
      <w:r w:rsidR="00FB67DC">
        <w:t>, n</w:t>
      </w:r>
      <w:r w:rsidR="00143C2E" w:rsidRPr="00143C2E">
        <w:rPr>
          <w:vertAlign w:val="superscript"/>
        </w:rPr>
        <w:t>o</w:t>
      </w:r>
      <w:r w:rsidR="00FB67DC">
        <w:t> </w:t>
      </w:r>
      <w:r w:rsidR="00FB67DC">
        <w:rPr>
          <w:rStyle w:val="textcolumn"/>
        </w:rPr>
        <w:t>44399/05</w:t>
      </w:r>
      <w:r w:rsidR="00FB67DC" w:rsidRPr="00E27AA1">
        <w:t>, 31 mars 2009 ;</w:t>
      </w:r>
      <w:r w:rsidR="00FB67DC">
        <w:rPr>
          <w:i/>
        </w:rPr>
        <w:t xml:space="preserve"> Fawsie c. Grèce</w:t>
      </w:r>
      <w:r w:rsidR="00FB67DC">
        <w:t>, n</w:t>
      </w:r>
      <w:r w:rsidR="00143C2E" w:rsidRPr="00143C2E">
        <w:rPr>
          <w:vertAlign w:val="superscript"/>
        </w:rPr>
        <w:t>o</w:t>
      </w:r>
      <w:r w:rsidR="00E6035D">
        <w:t> </w:t>
      </w:r>
      <w:r w:rsidR="00FB67DC">
        <w:rPr>
          <w:rStyle w:val="textcolumn"/>
        </w:rPr>
        <w:t>40080/07, 28 octobre 2010 ; et</w:t>
      </w:r>
      <w:r w:rsidR="00FB67DC">
        <w:t xml:space="preserve"> </w:t>
      </w:r>
      <w:r w:rsidR="00FB67DC">
        <w:rPr>
          <w:i/>
        </w:rPr>
        <w:t>Saidoun c. Grèce</w:t>
      </w:r>
      <w:r w:rsidR="00FB67DC">
        <w:t>, n</w:t>
      </w:r>
      <w:r w:rsidR="00143C2E" w:rsidRPr="00143C2E">
        <w:rPr>
          <w:vertAlign w:val="superscript"/>
        </w:rPr>
        <w:t>o</w:t>
      </w:r>
      <w:r w:rsidR="00E6035D">
        <w:t> </w:t>
      </w:r>
      <w:r w:rsidR="00FB67DC">
        <w:rPr>
          <w:rStyle w:val="textcolumn"/>
        </w:rPr>
        <w:t>40083/07</w:t>
      </w:r>
      <w:r w:rsidR="00FB67DC">
        <w:t xml:space="preserve">, </w:t>
      </w:r>
      <w:r w:rsidR="00FB67DC">
        <w:rPr>
          <w:rStyle w:val="textcolumn"/>
        </w:rPr>
        <w:t>28 octobre 2010</w:t>
      </w:r>
      <w:r w:rsidR="007B6173" w:rsidRPr="008E0E8F">
        <w:t>)</w:t>
      </w:r>
      <w:r w:rsidR="0028033B">
        <w:t>.</w:t>
      </w:r>
      <w:r w:rsidR="007B6173" w:rsidRPr="008E0E8F">
        <w:t xml:space="preserve"> </w:t>
      </w:r>
      <w:r w:rsidR="0028033B">
        <w:t>Il</w:t>
      </w:r>
      <w:r w:rsidR="0028033B" w:rsidRPr="008E0E8F">
        <w:t xml:space="preserve"> </w:t>
      </w:r>
      <w:r w:rsidR="0028033B">
        <w:t>expos</w:t>
      </w:r>
      <w:r w:rsidR="0028033B" w:rsidRPr="008E0E8F">
        <w:t xml:space="preserve">e </w:t>
      </w:r>
      <w:r w:rsidR="007B6173" w:rsidRPr="008E0E8F">
        <w:t>que l</w:t>
      </w:r>
      <w:r w:rsidR="00AE1D81">
        <w:t>’</w:t>
      </w:r>
      <w:r w:rsidR="007B6173" w:rsidRPr="008E0E8F">
        <w:t>allocation en question concrétise le droit à une contribution financière au maintien de la vie familiale des familles nombreuses aux faibles revenus</w:t>
      </w:r>
      <w:r w:rsidR="00FB67DC">
        <w:t xml:space="preserve">. </w:t>
      </w:r>
      <w:r w:rsidR="0028033B">
        <w:t xml:space="preserve">Sa mise en place trouverait sa source dans </w:t>
      </w:r>
      <w:r w:rsidR="00FB67DC">
        <w:t>un acte volontaire de l</w:t>
      </w:r>
      <w:r w:rsidR="00AE1D81">
        <w:t>’</w:t>
      </w:r>
      <w:r w:rsidR="00FB67DC">
        <w:rPr>
          <w:rFonts w:cstheme="minorHAnsi"/>
        </w:rPr>
        <w:t>É</w:t>
      </w:r>
      <w:r w:rsidR="00FB67DC">
        <w:t>tat basé sur le constat que les familles nombreuses sont exposées à des frais plus importants, principalement liés à l</w:t>
      </w:r>
      <w:r w:rsidR="00AE1D81">
        <w:t>’</w:t>
      </w:r>
      <w:r w:rsidR="00FB67DC">
        <w:t>entretien et à l</w:t>
      </w:r>
      <w:r w:rsidR="00AE1D81">
        <w:t>’</w:t>
      </w:r>
      <w:r w:rsidR="00FB67DC">
        <w:t>éducation des enfants.</w:t>
      </w:r>
    </w:p>
    <w:p w:rsidR="00FB67DC" w:rsidRDefault="00FB67DC" w:rsidP="007B6173">
      <w:pPr>
        <w:pStyle w:val="ECHRPara"/>
      </w:pPr>
      <w:r>
        <w:t xml:space="preserve">Le requérant conteste </w:t>
      </w:r>
      <w:r w:rsidR="0028033B">
        <w:t xml:space="preserve">la </w:t>
      </w:r>
      <w:r>
        <w:t xml:space="preserve">thèse </w:t>
      </w:r>
      <w:r w:rsidR="0028033B">
        <w:t>du Gouvernement selon laquelle cette allocation relèverait de l</w:t>
      </w:r>
      <w:r w:rsidR="00AE1D81">
        <w:t>’</w:t>
      </w:r>
      <w:r w:rsidR="0028033B">
        <w:t>assistance sociale. Se</w:t>
      </w:r>
      <w:r>
        <w:t xml:space="preserve"> fondant sur une analyse de l</w:t>
      </w:r>
      <w:r w:rsidR="00AE1D81">
        <w:t>’</w:t>
      </w:r>
      <w:r>
        <w:t>évolution du régime des allocations familiales en Italie,</w:t>
      </w:r>
      <w:r w:rsidR="0028033B">
        <w:t xml:space="preserve"> il</w:t>
      </w:r>
      <w:r>
        <w:t xml:space="preserve"> considère qu</w:t>
      </w:r>
      <w:r w:rsidR="00AE1D81">
        <w:t>’</w:t>
      </w:r>
      <w:r>
        <w:t>elle vise en réalité à améliorer les prestations spécifiques versées aux travailleurs. La Cour aurait à plusieurs reprises jugé que des « prestations sociales » similaires permettaient à l</w:t>
      </w:r>
      <w:r w:rsidR="00AE1D81">
        <w:t>’</w:t>
      </w:r>
      <w:r>
        <w:rPr>
          <w:rFonts w:cstheme="minorHAnsi"/>
        </w:rPr>
        <w:t>É</w:t>
      </w:r>
      <w:r>
        <w:t>tat de « témoigner son respect pour la vie familiale au sens de l</w:t>
      </w:r>
      <w:r w:rsidR="00AE1D81">
        <w:t>’</w:t>
      </w:r>
      <w:r>
        <w:t>article 8 », et rentraient donc dans le champ d</w:t>
      </w:r>
      <w:r w:rsidR="00AE1D81">
        <w:t>’</w:t>
      </w:r>
      <w:r>
        <w:t>application de cette disposition ou bien dans celui de l</w:t>
      </w:r>
      <w:r w:rsidR="00AE1D81">
        <w:t>’</w:t>
      </w:r>
      <w:r>
        <w:t>article 1 du Protocole n</w:t>
      </w:r>
      <w:r w:rsidR="00143C2E" w:rsidRPr="00143C2E">
        <w:rPr>
          <w:vertAlign w:val="superscript"/>
        </w:rPr>
        <w:t>o</w:t>
      </w:r>
      <w:r w:rsidR="00E6035D">
        <w:t> </w:t>
      </w:r>
      <w:r>
        <w:t xml:space="preserve">1, et ce indépendamment du versement préalable de cotisations de la part du bénéficiaire (voir, notamment, </w:t>
      </w:r>
      <w:r w:rsidRPr="0007446A">
        <w:rPr>
          <w:i/>
        </w:rPr>
        <w:t>Stec et autres c. Royaume-Uni</w:t>
      </w:r>
      <w:r>
        <w:t xml:space="preserve"> [GC] (déc.), n</w:t>
      </w:r>
      <w:r w:rsidRPr="00E27AA1">
        <w:rPr>
          <w:vertAlign w:val="superscript"/>
        </w:rPr>
        <w:t>os</w:t>
      </w:r>
      <w:r>
        <w:t xml:space="preserve"> </w:t>
      </w:r>
      <w:r>
        <w:rPr>
          <w:rStyle w:val="textcolumn"/>
        </w:rPr>
        <w:t>65731/01 et 65900/01</w:t>
      </w:r>
      <w:r>
        <w:t xml:space="preserve">, §§ 49-56, </w:t>
      </w:r>
      <w:r w:rsidR="00297B54">
        <w:t>CEDH</w:t>
      </w:r>
      <w:r>
        <w:t xml:space="preserve"> 2005</w:t>
      </w:r>
      <w:r w:rsidR="00297B54">
        <w:t>-X</w:t>
      </w:r>
      <w:r>
        <w:t>).</w:t>
      </w:r>
    </w:p>
    <w:p w:rsidR="007B6173" w:rsidRDefault="00F44484" w:rsidP="007B6173">
      <w:pPr>
        <w:pStyle w:val="ECHRPara"/>
      </w:pPr>
      <w:r>
        <w:fldChar w:fldCharType="begin"/>
      </w:r>
      <w:r>
        <w:instrText xml:space="preserve"> SEQ level0 \*arabic </w:instrText>
      </w:r>
      <w:r>
        <w:fldChar w:fldCharType="separate"/>
      </w:r>
      <w:r>
        <w:rPr>
          <w:noProof/>
        </w:rPr>
        <w:t>37</w:t>
      </w:r>
      <w:r>
        <w:rPr>
          <w:noProof/>
        </w:rPr>
        <w:fldChar w:fldCharType="end"/>
      </w:r>
      <w:r w:rsidR="00FB67DC">
        <w:t>.  </w:t>
      </w:r>
      <w:r w:rsidR="007B6173" w:rsidRPr="008E0E8F">
        <w:t>Le</w:t>
      </w:r>
      <w:r w:rsidR="00FB67DC">
        <w:t xml:space="preserve"> requérant note que</w:t>
      </w:r>
      <w:r w:rsidR="007B6173" w:rsidRPr="008E0E8F">
        <w:t xml:space="preserve"> </w:t>
      </w:r>
      <w:r w:rsidR="00FB67DC">
        <w:t xml:space="preserve">le </w:t>
      </w:r>
      <w:r w:rsidR="007B6173" w:rsidRPr="008E0E8F">
        <w:t>seul obstacle à l</w:t>
      </w:r>
      <w:r w:rsidR="00AE1D81">
        <w:t>’</w:t>
      </w:r>
      <w:r w:rsidR="007B6173" w:rsidRPr="008E0E8F">
        <w:t>octroi de l</w:t>
      </w:r>
      <w:r w:rsidR="00AE1D81">
        <w:t>’</w:t>
      </w:r>
      <w:r w:rsidR="007B6173" w:rsidRPr="008E0E8F">
        <w:t xml:space="preserve">allocation était </w:t>
      </w:r>
      <w:r w:rsidR="00FB67DC">
        <w:t>s</w:t>
      </w:r>
      <w:r w:rsidR="007B6173" w:rsidRPr="008E0E8F">
        <w:t>a nationalité, ce qui s</w:t>
      </w:r>
      <w:r w:rsidR="00AE1D81">
        <w:t>’</w:t>
      </w:r>
      <w:r w:rsidR="007B6173" w:rsidRPr="008E0E8F">
        <w:t>analyse</w:t>
      </w:r>
      <w:r w:rsidR="00FB67DC">
        <w:t>rait</w:t>
      </w:r>
      <w:r w:rsidR="007B6173" w:rsidRPr="008E0E8F">
        <w:t xml:space="preserve"> en une discrimination par rapport aux citoyens italiens se trouvant dans une situation financière et familiale comparable à la sienne.</w:t>
      </w:r>
    </w:p>
    <w:p w:rsidR="007B6173" w:rsidRDefault="007B6173" w:rsidP="007B6173">
      <w:pPr>
        <w:pStyle w:val="ECHRHeading4"/>
      </w:pPr>
      <w:r>
        <w:t>b)  Le Gouvernement</w:t>
      </w:r>
    </w:p>
    <w:p w:rsidR="007B6173" w:rsidRDefault="00F44484" w:rsidP="007B6173">
      <w:pPr>
        <w:pStyle w:val="ECHRPara"/>
      </w:pPr>
      <w:r>
        <w:fldChar w:fldCharType="begin"/>
      </w:r>
      <w:r>
        <w:instrText xml:space="preserve"> SEQ level0 \*ara</w:instrText>
      </w:r>
      <w:r>
        <w:instrText xml:space="preserve">bic </w:instrText>
      </w:r>
      <w:r>
        <w:fldChar w:fldCharType="separate"/>
      </w:r>
      <w:r>
        <w:rPr>
          <w:noProof/>
        </w:rPr>
        <w:t>38</w:t>
      </w:r>
      <w:r>
        <w:rPr>
          <w:noProof/>
        </w:rPr>
        <w:fldChar w:fldCharType="end"/>
      </w:r>
      <w:r w:rsidR="00FB67DC">
        <w:t>.  </w:t>
      </w:r>
      <w:r w:rsidR="005F3B1C">
        <w:t>Le Gouvernement considère que l</w:t>
      </w:r>
      <w:r w:rsidR="00AE1D81">
        <w:t>’</w:t>
      </w:r>
      <w:r w:rsidR="005F3B1C">
        <w:t>objet de la requête n</w:t>
      </w:r>
      <w:r w:rsidR="00AE1D81">
        <w:t>’</w:t>
      </w:r>
      <w:r w:rsidR="005F3B1C">
        <w:t>entre pas dans le champ d</w:t>
      </w:r>
      <w:r w:rsidR="00AE1D81">
        <w:t>’</w:t>
      </w:r>
      <w:r w:rsidR="005F3B1C">
        <w:t>application de l</w:t>
      </w:r>
      <w:r w:rsidR="00AE1D81">
        <w:t>’</w:t>
      </w:r>
      <w:r w:rsidR="005F3B1C">
        <w:t>article</w:t>
      </w:r>
      <w:r w:rsidR="00E6035D">
        <w:t> </w:t>
      </w:r>
      <w:r w:rsidR="005F3B1C">
        <w:t>8 de la Convention, l</w:t>
      </w:r>
      <w:r w:rsidR="00AE1D81">
        <w:t>’</w:t>
      </w:r>
      <w:r w:rsidR="005F3B1C">
        <w:t>allocation d</w:t>
      </w:r>
      <w:r w:rsidR="00AE1D81">
        <w:t>’</w:t>
      </w:r>
      <w:r w:rsidR="005F3B1C">
        <w:t>assistance sociale revendiquée par le requérant n</w:t>
      </w:r>
      <w:r w:rsidR="00AE1D81">
        <w:t>’</w:t>
      </w:r>
      <w:r w:rsidR="005F3B1C">
        <w:t xml:space="preserve">ayant pas un caractère </w:t>
      </w:r>
      <w:r w:rsidR="0028033B">
        <w:t>« </w:t>
      </w:r>
      <w:r w:rsidR="005F3B1C">
        <w:t>primaire</w:t>
      </w:r>
      <w:r w:rsidR="0028033B">
        <w:t> »</w:t>
      </w:r>
      <w:r w:rsidR="005F3B1C">
        <w:t>.</w:t>
      </w:r>
    </w:p>
    <w:p w:rsidR="005F3B1C" w:rsidRDefault="005F3B1C" w:rsidP="005F3B1C">
      <w:pPr>
        <w:pStyle w:val="ECHRHeading3"/>
      </w:pPr>
      <w:r>
        <w:t>2.  Appréciation de la Cour</w:t>
      </w:r>
    </w:p>
    <w:p w:rsidR="005F3B1C" w:rsidRDefault="005F3B1C" w:rsidP="005F3B1C">
      <w:pPr>
        <w:pStyle w:val="ECHRHeading4"/>
      </w:pPr>
      <w:r>
        <w:t>a)  Sur l</w:t>
      </w:r>
      <w:r w:rsidR="00AE1D81">
        <w:t>’</w:t>
      </w:r>
      <w:r>
        <w:t>applicabilité de l</w:t>
      </w:r>
      <w:r w:rsidR="00AE1D81">
        <w:t>’</w:t>
      </w:r>
      <w:r>
        <w:t>article 14 de la Convention, combiné avec l</w:t>
      </w:r>
      <w:r w:rsidR="00AE1D81">
        <w:t>’</w:t>
      </w:r>
      <w:r>
        <w:t>article 8</w:t>
      </w:r>
    </w:p>
    <w:p w:rsidR="005F3B1C" w:rsidRDefault="00F44484" w:rsidP="005F3B1C">
      <w:pPr>
        <w:pStyle w:val="ECHRPara"/>
      </w:pPr>
      <w:r>
        <w:fldChar w:fldCharType="begin"/>
      </w:r>
      <w:r>
        <w:instrText xml:space="preserve"> SEQ level0 \*arabic </w:instrText>
      </w:r>
      <w:r>
        <w:fldChar w:fldCharType="separate"/>
      </w:r>
      <w:r>
        <w:rPr>
          <w:noProof/>
        </w:rPr>
        <w:t>39</w:t>
      </w:r>
      <w:r>
        <w:rPr>
          <w:noProof/>
        </w:rPr>
        <w:fldChar w:fldCharType="end"/>
      </w:r>
      <w:r w:rsidR="005F3B1C">
        <w:t>.  </w:t>
      </w:r>
      <w:r w:rsidR="005F3B1C">
        <w:rPr>
          <w:rStyle w:val="sb8d990e2"/>
        </w:rPr>
        <w:t>Comme la Cour l</w:t>
      </w:r>
      <w:r w:rsidR="00AE1D81">
        <w:rPr>
          <w:rStyle w:val="sb8d990e2"/>
        </w:rPr>
        <w:t>’</w:t>
      </w:r>
      <w:r w:rsidR="005F3B1C">
        <w:rPr>
          <w:rStyle w:val="sb8d990e2"/>
        </w:rPr>
        <w:t>a constamment déclaré, l</w:t>
      </w:r>
      <w:r w:rsidR="00AE1D81">
        <w:rPr>
          <w:rStyle w:val="sb8d990e2"/>
        </w:rPr>
        <w:t>’</w:t>
      </w:r>
      <w:r w:rsidR="005F3B1C">
        <w:rPr>
          <w:rStyle w:val="sb8d990e2"/>
        </w:rPr>
        <w:t>article 14 de la Convention complète les autres clauses normatives de la Convention et de ses Protocoles. Il n</w:t>
      </w:r>
      <w:r w:rsidR="00AE1D81">
        <w:rPr>
          <w:rStyle w:val="sb8d990e2"/>
        </w:rPr>
        <w:t>’</w:t>
      </w:r>
      <w:r w:rsidR="005F3B1C">
        <w:rPr>
          <w:rStyle w:val="sb8d990e2"/>
        </w:rPr>
        <w:t>a pas d</w:t>
      </w:r>
      <w:r w:rsidR="00AE1D81">
        <w:rPr>
          <w:rStyle w:val="sb8d990e2"/>
        </w:rPr>
        <w:t>’</w:t>
      </w:r>
      <w:r w:rsidR="005F3B1C">
        <w:rPr>
          <w:rStyle w:val="sb8d990e2"/>
        </w:rPr>
        <w:t>existence indépendante, puisqu</w:t>
      </w:r>
      <w:r w:rsidR="00AE1D81">
        <w:rPr>
          <w:rStyle w:val="sb8d990e2"/>
        </w:rPr>
        <w:t>’</w:t>
      </w:r>
      <w:r w:rsidR="005F3B1C">
        <w:rPr>
          <w:rStyle w:val="sb8d990e2"/>
        </w:rPr>
        <w:t>il vaut uniquement pour « la jouissance des droits et libertés » qu</w:t>
      </w:r>
      <w:r w:rsidR="00AE1D81">
        <w:rPr>
          <w:rStyle w:val="sb8d990e2"/>
        </w:rPr>
        <w:t>’</w:t>
      </w:r>
      <w:r w:rsidR="005F3B1C">
        <w:rPr>
          <w:rStyle w:val="sb8d990e2"/>
        </w:rPr>
        <w:t>elles garantissent. Certes, il peut entrer en jeu même sans un manquement à leurs exigences et, dans cette mesure, il possède une portée autonome, mais il ne saurait trouver à s</w:t>
      </w:r>
      <w:r w:rsidR="00AE1D81">
        <w:rPr>
          <w:rStyle w:val="sb8d990e2"/>
        </w:rPr>
        <w:t>’</w:t>
      </w:r>
      <w:r w:rsidR="005F3B1C">
        <w:rPr>
          <w:rStyle w:val="sb8d990e2"/>
        </w:rPr>
        <w:t>appliquer si les faits du litige ne tombent pas sous l</w:t>
      </w:r>
      <w:r w:rsidR="00AE1D81">
        <w:rPr>
          <w:rStyle w:val="sb8d990e2"/>
        </w:rPr>
        <w:t>’</w:t>
      </w:r>
      <w:r w:rsidR="005F3B1C">
        <w:rPr>
          <w:rStyle w:val="sb8d990e2"/>
        </w:rPr>
        <w:t>empire de l</w:t>
      </w:r>
      <w:r w:rsidR="00AE1D81">
        <w:rPr>
          <w:rStyle w:val="sb8d990e2"/>
        </w:rPr>
        <w:t>’</w:t>
      </w:r>
      <w:r w:rsidR="005F3B1C">
        <w:rPr>
          <w:rStyle w:val="sb8d990e2"/>
        </w:rPr>
        <w:t>une au moins desdites clauses (voir, parmi beaucoup d</w:t>
      </w:r>
      <w:r w:rsidR="00AE1D81">
        <w:rPr>
          <w:rStyle w:val="sb8d990e2"/>
        </w:rPr>
        <w:t>’</w:t>
      </w:r>
      <w:r w:rsidR="005F3B1C">
        <w:rPr>
          <w:rStyle w:val="sb8d990e2"/>
        </w:rPr>
        <w:t xml:space="preserve">autres, </w:t>
      </w:r>
      <w:r w:rsidR="005F3B1C" w:rsidRPr="00785142">
        <w:rPr>
          <w:rStyle w:val="s6b621b36"/>
          <w:i/>
        </w:rPr>
        <w:t>Van Raalte c. Pays-Bas</w:t>
      </w:r>
      <w:r w:rsidR="005F3B1C">
        <w:rPr>
          <w:rStyle w:val="sb8d990e2"/>
        </w:rPr>
        <w:t xml:space="preserve">, 21 février 1997, § 33, </w:t>
      </w:r>
      <w:r w:rsidR="005F3B1C" w:rsidRPr="00785142">
        <w:rPr>
          <w:rStyle w:val="s6b621b36"/>
          <w:i/>
        </w:rPr>
        <w:t>Recueil</w:t>
      </w:r>
      <w:r w:rsidR="005F3B1C">
        <w:rPr>
          <w:rStyle w:val="sb8d990e2"/>
        </w:rPr>
        <w:t xml:space="preserve"> 1997-I ; </w:t>
      </w:r>
      <w:r w:rsidR="005F3B1C" w:rsidRPr="00785142">
        <w:rPr>
          <w:rStyle w:val="s6b621b36"/>
          <w:i/>
        </w:rPr>
        <w:t>Petrovic</w:t>
      </w:r>
      <w:r w:rsidR="005F3B1C">
        <w:rPr>
          <w:rStyle w:val="sb8d990e2"/>
        </w:rPr>
        <w:t xml:space="preserve">, </w:t>
      </w:r>
      <w:r w:rsidR="00FB67DC">
        <w:rPr>
          <w:rStyle w:val="sb8d990e2"/>
        </w:rPr>
        <w:t xml:space="preserve">précité, </w:t>
      </w:r>
      <w:r w:rsidR="005F3B1C">
        <w:rPr>
          <w:rStyle w:val="sb8d990e2"/>
        </w:rPr>
        <w:t xml:space="preserve">§ 22 ; et </w:t>
      </w:r>
      <w:r w:rsidR="005F3B1C">
        <w:rPr>
          <w:rStyle w:val="sb8d990e2"/>
          <w:i/>
        </w:rPr>
        <w:t>Zarb Adami c. Malte</w:t>
      </w:r>
      <w:r w:rsidR="005F3B1C">
        <w:rPr>
          <w:rStyle w:val="sb8d990e2"/>
        </w:rPr>
        <w:t>, n</w:t>
      </w:r>
      <w:r w:rsidR="00143C2E" w:rsidRPr="00143C2E">
        <w:rPr>
          <w:rStyle w:val="sb8d990e2"/>
          <w:vertAlign w:val="superscript"/>
        </w:rPr>
        <w:t>o</w:t>
      </w:r>
      <w:r w:rsidR="005F3B1C">
        <w:rPr>
          <w:rStyle w:val="sb8d990e2"/>
        </w:rPr>
        <w:t> 17209/02, § 42, CEDH 2006-VIII).</w:t>
      </w:r>
    </w:p>
    <w:p w:rsidR="005F3B1C" w:rsidRDefault="00F44484" w:rsidP="005F3B1C">
      <w:pPr>
        <w:pStyle w:val="ECHRPara"/>
        <w:rPr>
          <w:rStyle w:val="sb8d990e2"/>
        </w:rPr>
      </w:pPr>
      <w:r>
        <w:fldChar w:fldCharType="begin"/>
      </w:r>
      <w:r>
        <w:instrText xml:space="preserve"> SEQ level0 \*arabic </w:instrText>
      </w:r>
      <w:r>
        <w:fldChar w:fldCharType="separate"/>
      </w:r>
      <w:r>
        <w:rPr>
          <w:noProof/>
        </w:rPr>
        <w:t>40</w:t>
      </w:r>
      <w:r>
        <w:rPr>
          <w:noProof/>
        </w:rPr>
        <w:fldChar w:fldCharType="end"/>
      </w:r>
      <w:r w:rsidR="005F3B1C">
        <w:t>.  </w:t>
      </w:r>
      <w:r w:rsidR="00F75B7D" w:rsidRPr="003C2518">
        <w:rPr>
          <w:rStyle w:val="sb8d990e2"/>
        </w:rPr>
        <w:t>La Cour estime d</w:t>
      </w:r>
      <w:r w:rsidR="00AE1D81">
        <w:rPr>
          <w:rStyle w:val="sb8d990e2"/>
        </w:rPr>
        <w:t>’</w:t>
      </w:r>
      <w:r w:rsidR="00F75B7D" w:rsidRPr="003C2518">
        <w:rPr>
          <w:rStyle w:val="sb8d990e2"/>
        </w:rPr>
        <w:t>abord que le refus des autorités d</w:t>
      </w:r>
      <w:r w:rsidR="00AE1D81">
        <w:rPr>
          <w:rStyle w:val="sb8d990e2"/>
        </w:rPr>
        <w:t>’</w:t>
      </w:r>
      <w:r w:rsidR="00F75B7D" w:rsidRPr="003C2518">
        <w:rPr>
          <w:rStyle w:val="sb8d990e2"/>
        </w:rPr>
        <w:t xml:space="preserve">accorder </w:t>
      </w:r>
      <w:r w:rsidR="00F75B7D">
        <w:rPr>
          <w:rStyle w:val="sb8d990e2"/>
        </w:rPr>
        <w:t>au</w:t>
      </w:r>
      <w:r w:rsidR="00F75B7D" w:rsidRPr="003C2518">
        <w:rPr>
          <w:rStyle w:val="sb8d990e2"/>
        </w:rPr>
        <w:t xml:space="preserve"> requérant l</w:t>
      </w:r>
      <w:r w:rsidR="00AE1D81">
        <w:rPr>
          <w:rStyle w:val="sb8d990e2"/>
        </w:rPr>
        <w:t>’</w:t>
      </w:r>
      <w:r w:rsidR="00F75B7D" w:rsidRPr="003C2518">
        <w:rPr>
          <w:rStyle w:val="sb8d990e2"/>
        </w:rPr>
        <w:t xml:space="preserve">allocation </w:t>
      </w:r>
      <w:r w:rsidR="00FB67DC">
        <w:rPr>
          <w:rStyle w:val="sb8d990e2"/>
        </w:rPr>
        <w:t>litigieuse</w:t>
      </w:r>
      <w:r w:rsidR="00F75B7D" w:rsidRPr="003C2518">
        <w:rPr>
          <w:rStyle w:val="sb8d990e2"/>
        </w:rPr>
        <w:t xml:space="preserve"> ne visait pas à briser </w:t>
      </w:r>
      <w:r w:rsidR="0028033B">
        <w:rPr>
          <w:rStyle w:val="sb8d990e2"/>
        </w:rPr>
        <w:t>sa</w:t>
      </w:r>
      <w:r w:rsidR="0028033B" w:rsidRPr="003C2518">
        <w:rPr>
          <w:rStyle w:val="sb8d990e2"/>
        </w:rPr>
        <w:t xml:space="preserve"> </w:t>
      </w:r>
      <w:r w:rsidR="00F75B7D" w:rsidRPr="003C2518">
        <w:rPr>
          <w:rStyle w:val="sb8d990e2"/>
        </w:rPr>
        <w:t>vie familiale et n</w:t>
      </w:r>
      <w:r w:rsidR="00AE1D81">
        <w:rPr>
          <w:rStyle w:val="sb8d990e2"/>
        </w:rPr>
        <w:t>’</w:t>
      </w:r>
      <w:r w:rsidR="00F75B7D" w:rsidRPr="003C2518">
        <w:rPr>
          <w:rStyle w:val="sb8d990e2"/>
        </w:rPr>
        <w:t>a pas eu cet effet, l</w:t>
      </w:r>
      <w:r w:rsidR="00AE1D81">
        <w:rPr>
          <w:rStyle w:val="sb8d990e2"/>
        </w:rPr>
        <w:t>’</w:t>
      </w:r>
      <w:r w:rsidR="00F75B7D" w:rsidRPr="003C2518">
        <w:rPr>
          <w:rStyle w:val="sb8d990e2"/>
        </w:rPr>
        <w:t>article 8 n</w:t>
      </w:r>
      <w:r w:rsidR="00AE1D81">
        <w:rPr>
          <w:rStyle w:val="sb8d990e2"/>
        </w:rPr>
        <w:t>’</w:t>
      </w:r>
      <w:r w:rsidR="00F75B7D" w:rsidRPr="003C2518">
        <w:rPr>
          <w:rStyle w:val="sb8d990e2"/>
        </w:rPr>
        <w:t>impos</w:t>
      </w:r>
      <w:r w:rsidR="0028033B">
        <w:rPr>
          <w:rStyle w:val="sb8d990e2"/>
        </w:rPr>
        <w:t>ant</w:t>
      </w:r>
      <w:r w:rsidR="00F75B7D" w:rsidRPr="003C2518">
        <w:rPr>
          <w:rStyle w:val="sb8d990e2"/>
        </w:rPr>
        <w:t xml:space="preserve"> pas aux États une obligation positive de fournir l</w:t>
      </w:r>
      <w:r w:rsidR="00AE1D81">
        <w:rPr>
          <w:rStyle w:val="sb8d990e2"/>
        </w:rPr>
        <w:t>’</w:t>
      </w:r>
      <w:r w:rsidR="00F75B7D" w:rsidRPr="003C2518">
        <w:rPr>
          <w:rStyle w:val="sb8d990e2"/>
        </w:rPr>
        <w:t>assistance financière en question (</w:t>
      </w:r>
      <w:r w:rsidR="00F75B7D">
        <w:rPr>
          <w:rStyle w:val="sb8d990e2"/>
          <w:i/>
        </w:rPr>
        <w:t>Petrovic</w:t>
      </w:r>
      <w:r w:rsidR="00F75B7D">
        <w:rPr>
          <w:rStyle w:val="sb8d990e2"/>
        </w:rPr>
        <w:t>, précité, § 26 ;</w:t>
      </w:r>
      <w:r w:rsidR="00F75B7D">
        <w:rPr>
          <w:rStyle w:val="sb8d990e2"/>
          <w:i/>
        </w:rPr>
        <w:t xml:space="preserve"> </w:t>
      </w:r>
      <w:r w:rsidR="00F75B7D" w:rsidRPr="00F75B7D">
        <w:rPr>
          <w:rStyle w:val="s6b621b36"/>
          <w:i/>
        </w:rPr>
        <w:t>Zeïbek c. Grèce</w:t>
      </w:r>
      <w:r w:rsidR="00F75B7D" w:rsidRPr="003C2518">
        <w:rPr>
          <w:rStyle w:val="s6b621b36"/>
        </w:rPr>
        <w:t>,</w:t>
      </w:r>
      <w:r w:rsidR="00F75B7D" w:rsidRPr="003C2518">
        <w:rPr>
          <w:rStyle w:val="sb8d990e2"/>
        </w:rPr>
        <w:t xml:space="preserve"> n</w:t>
      </w:r>
      <w:r w:rsidR="00143C2E" w:rsidRPr="00143C2E">
        <w:rPr>
          <w:rStyle w:val="sea881cdf"/>
          <w:vertAlign w:val="superscript"/>
        </w:rPr>
        <w:t>o</w:t>
      </w:r>
      <w:r w:rsidR="00E6035D">
        <w:rPr>
          <w:rStyle w:val="sea881cdf"/>
        </w:rPr>
        <w:t> </w:t>
      </w:r>
      <w:r w:rsidR="00F75B7D">
        <w:rPr>
          <w:rStyle w:val="sea881cdf"/>
        </w:rPr>
        <w:t>46368/06</w:t>
      </w:r>
      <w:r w:rsidR="00F75B7D" w:rsidRPr="003C2518">
        <w:rPr>
          <w:rStyle w:val="sb8d990e2"/>
        </w:rPr>
        <w:t>, § 32, 9 juillet 2009</w:t>
      </w:r>
      <w:r w:rsidR="00F75B7D">
        <w:rPr>
          <w:rStyle w:val="sb8d990e2"/>
        </w:rPr>
        <w:t xml:space="preserve"> ; et </w:t>
      </w:r>
      <w:r w:rsidR="00F75B7D">
        <w:rPr>
          <w:rStyle w:val="sb8d990e2"/>
          <w:i/>
        </w:rPr>
        <w:t>Fawsie</w:t>
      </w:r>
      <w:r w:rsidR="00F75B7D">
        <w:rPr>
          <w:rStyle w:val="sb8d990e2"/>
        </w:rPr>
        <w:t>, précité, § 27</w:t>
      </w:r>
      <w:r w:rsidR="00F75B7D" w:rsidRPr="003C2518">
        <w:rPr>
          <w:rStyle w:val="sb8d990e2"/>
        </w:rPr>
        <w:t>)</w:t>
      </w:r>
      <w:r w:rsidR="00F75B7D">
        <w:rPr>
          <w:rStyle w:val="sb8d990e2"/>
        </w:rPr>
        <w:t>.</w:t>
      </w:r>
    </w:p>
    <w:p w:rsidR="005F3B1C" w:rsidRDefault="00F75B7D" w:rsidP="005F3B1C">
      <w:pPr>
        <w:pStyle w:val="ECHRPara"/>
      </w:pPr>
      <w:r>
        <w:rPr>
          <w:rStyle w:val="sb8d990e2"/>
        </w:rPr>
        <w:fldChar w:fldCharType="begin"/>
      </w:r>
      <w:r w:rsidRPr="006419FC">
        <w:rPr>
          <w:rStyle w:val="sb8d990e2"/>
        </w:rPr>
        <w:instrText xml:space="preserve"> SEQ level0 \*arabic </w:instrText>
      </w:r>
      <w:r>
        <w:rPr>
          <w:rStyle w:val="sb8d990e2"/>
        </w:rPr>
        <w:fldChar w:fldCharType="separate"/>
      </w:r>
      <w:r w:rsidR="00F44484">
        <w:rPr>
          <w:rStyle w:val="sb8d990e2"/>
          <w:noProof/>
        </w:rPr>
        <w:t>41</w:t>
      </w:r>
      <w:r>
        <w:rPr>
          <w:rStyle w:val="sb8d990e2"/>
        </w:rPr>
        <w:fldChar w:fldCharType="end"/>
      </w:r>
      <w:r w:rsidRPr="006419FC">
        <w:rPr>
          <w:rStyle w:val="sb8d990e2"/>
        </w:rPr>
        <w:t>.  </w:t>
      </w:r>
      <w:r w:rsidRPr="003C2518">
        <w:rPr>
          <w:rStyle w:val="sb8d990e2"/>
        </w:rPr>
        <w:t>Néanmo</w:t>
      </w:r>
      <w:r>
        <w:rPr>
          <w:rStyle w:val="sb8d990e2"/>
        </w:rPr>
        <w:t>ins, la Cour a déjà jugé que l</w:t>
      </w:r>
      <w:r w:rsidR="00AE1D81">
        <w:rPr>
          <w:rStyle w:val="sb8d990e2"/>
        </w:rPr>
        <w:t>’</w:t>
      </w:r>
      <w:r>
        <w:rPr>
          <w:rStyle w:val="sb8d990e2"/>
        </w:rPr>
        <w:t>attribution de l</w:t>
      </w:r>
      <w:r w:rsidR="00AE1D81">
        <w:rPr>
          <w:rStyle w:val="sb8d990e2"/>
        </w:rPr>
        <w:t>’</w:t>
      </w:r>
      <w:r w:rsidRPr="003C2518">
        <w:rPr>
          <w:rStyle w:val="sb8d990e2"/>
        </w:rPr>
        <w:t>allocation po</w:t>
      </w:r>
      <w:r>
        <w:rPr>
          <w:rStyle w:val="sb8d990e2"/>
        </w:rPr>
        <w:t>ur famille nombreuse permet à l</w:t>
      </w:r>
      <w:r w:rsidR="00AE1D81">
        <w:rPr>
          <w:rStyle w:val="sb8d990e2"/>
        </w:rPr>
        <w:t>’</w:t>
      </w:r>
      <w:r w:rsidRPr="003C2518">
        <w:rPr>
          <w:rStyle w:val="sb8d990e2"/>
        </w:rPr>
        <w:t xml:space="preserve">État de </w:t>
      </w:r>
      <w:r w:rsidR="00297B54">
        <w:rPr>
          <w:rStyle w:val="sb8d990e2"/>
        </w:rPr>
        <w:t>« </w:t>
      </w:r>
      <w:r w:rsidRPr="003C2518">
        <w:rPr>
          <w:rStyle w:val="sb8d990e2"/>
        </w:rPr>
        <w:t xml:space="preserve">témoigner son respect pour la vie </w:t>
      </w:r>
      <w:r>
        <w:rPr>
          <w:rStyle w:val="sb8d990e2"/>
        </w:rPr>
        <w:t>familiale</w:t>
      </w:r>
      <w:r w:rsidR="00297B54">
        <w:rPr>
          <w:rStyle w:val="sb8d990e2"/>
        </w:rPr>
        <w:t> »</w:t>
      </w:r>
      <w:r>
        <w:rPr>
          <w:rStyle w:val="sb8d990e2"/>
        </w:rPr>
        <w:t xml:space="preserve"> au sens de l</w:t>
      </w:r>
      <w:r w:rsidR="00AE1D81">
        <w:rPr>
          <w:rStyle w:val="sb8d990e2"/>
        </w:rPr>
        <w:t>’</w:t>
      </w:r>
      <w:r w:rsidRPr="003C2518">
        <w:rPr>
          <w:rStyle w:val="sb8d990e2"/>
        </w:rPr>
        <w:t>article 8 de la Conventio</w:t>
      </w:r>
      <w:r>
        <w:rPr>
          <w:rStyle w:val="sb8d990e2"/>
        </w:rPr>
        <w:t xml:space="preserve">n et </w:t>
      </w:r>
      <w:r w:rsidR="00BF76E9">
        <w:rPr>
          <w:rStyle w:val="sb8d990e2"/>
        </w:rPr>
        <w:t xml:space="preserve">tombe </w:t>
      </w:r>
      <w:r>
        <w:rPr>
          <w:rStyle w:val="sb8d990e2"/>
        </w:rPr>
        <w:t xml:space="preserve">donc </w:t>
      </w:r>
      <w:r w:rsidR="00BF76E9">
        <w:rPr>
          <w:rStyle w:val="sb8d990e2"/>
        </w:rPr>
        <w:t>sous l</w:t>
      </w:r>
      <w:r w:rsidR="00AE1D81">
        <w:rPr>
          <w:rStyle w:val="sb8d990e2"/>
        </w:rPr>
        <w:t>’</w:t>
      </w:r>
      <w:r w:rsidR="00BF76E9">
        <w:rPr>
          <w:rStyle w:val="sb8d990e2"/>
        </w:rPr>
        <w:t>empire</w:t>
      </w:r>
      <w:r w:rsidRPr="003C2518">
        <w:rPr>
          <w:rStyle w:val="sb8d990e2"/>
        </w:rPr>
        <w:t xml:space="preserve"> de ce dernier</w:t>
      </w:r>
      <w:r>
        <w:rPr>
          <w:rStyle w:val="sb8d990e2"/>
        </w:rPr>
        <w:t xml:space="preserve"> (</w:t>
      </w:r>
      <w:r w:rsidRPr="00F75B7D">
        <w:rPr>
          <w:rStyle w:val="sb8d990e2"/>
          <w:i/>
        </w:rPr>
        <w:t>Okpisz</w:t>
      </w:r>
      <w:r>
        <w:rPr>
          <w:rStyle w:val="sb8d990e2"/>
        </w:rPr>
        <w:t xml:space="preserve">, précité, </w:t>
      </w:r>
      <w:r w:rsidRPr="00F75B7D">
        <w:rPr>
          <w:rStyle w:val="sb8d990e2"/>
        </w:rPr>
        <w:t>§ 32</w:t>
      </w:r>
      <w:r>
        <w:rPr>
          <w:rStyle w:val="sb8d990e2"/>
        </w:rPr>
        <w:t xml:space="preserve"> ; </w:t>
      </w:r>
      <w:r w:rsidRPr="00F75B7D">
        <w:rPr>
          <w:i/>
          <w:lang w:eastAsia="en-US"/>
        </w:rPr>
        <w:t>Niedzwiecki</w:t>
      </w:r>
      <w:r>
        <w:rPr>
          <w:lang w:eastAsia="en-US"/>
        </w:rPr>
        <w:t>, précité,</w:t>
      </w:r>
      <w:r w:rsidRPr="00F75B7D">
        <w:rPr>
          <w:lang w:eastAsia="en-US"/>
        </w:rPr>
        <w:t xml:space="preserve"> § 31</w:t>
      </w:r>
      <w:r>
        <w:rPr>
          <w:lang w:eastAsia="en-US"/>
        </w:rPr>
        <w:t xml:space="preserve"> ; </w:t>
      </w:r>
      <w:r>
        <w:rPr>
          <w:rStyle w:val="sb8d990e2"/>
          <w:i/>
        </w:rPr>
        <w:t>Fawsie</w:t>
      </w:r>
      <w:r>
        <w:rPr>
          <w:rStyle w:val="sb8d990e2"/>
        </w:rPr>
        <w:t xml:space="preserve">, précité, § 28 ; et </w:t>
      </w:r>
      <w:r>
        <w:rPr>
          <w:i/>
        </w:rPr>
        <w:t>Saidoun</w:t>
      </w:r>
      <w:r>
        <w:t xml:space="preserve">, précité, § 29 ; voir également, </w:t>
      </w:r>
      <w:r>
        <w:rPr>
          <w:i/>
        </w:rPr>
        <w:t>mutatis mutandis</w:t>
      </w:r>
      <w:r>
        <w:t xml:space="preserve">, </w:t>
      </w:r>
      <w:r>
        <w:rPr>
          <w:i/>
        </w:rPr>
        <w:t>Petrovic</w:t>
      </w:r>
      <w:r>
        <w:t xml:space="preserve">, précité, §§ 27-29 </w:t>
      </w:r>
      <w:r w:rsidR="00EC739C">
        <w:t xml:space="preserve">– </w:t>
      </w:r>
      <w:r w:rsidR="005634F3">
        <w:t>à propos d</w:t>
      </w:r>
      <w:r w:rsidR="00AE1D81">
        <w:t>’</w:t>
      </w:r>
      <w:r w:rsidR="005634F3">
        <w:t xml:space="preserve">une </w:t>
      </w:r>
      <w:r>
        <w:t>allocation de congé parental</w:t>
      </w:r>
      <w:r w:rsidR="00EC739C">
        <w:t xml:space="preserve"> –</w:t>
      </w:r>
      <w:r w:rsidR="006F5289">
        <w:t>, et</w:t>
      </w:r>
      <w:r>
        <w:t xml:space="preserve"> </w:t>
      </w:r>
      <w:r>
        <w:rPr>
          <w:i/>
        </w:rPr>
        <w:t>Weller</w:t>
      </w:r>
      <w:r>
        <w:t xml:space="preserve">, précité, § 29 </w:t>
      </w:r>
      <w:r w:rsidR="00EC739C">
        <w:t xml:space="preserve">– </w:t>
      </w:r>
      <w:r w:rsidR="005634F3">
        <w:t>à propos d</w:t>
      </w:r>
      <w:r w:rsidR="00AE1D81">
        <w:t>’</w:t>
      </w:r>
      <w:r w:rsidR="005634F3">
        <w:t xml:space="preserve">une </w:t>
      </w:r>
      <w:r>
        <w:t>allocation de maternité</w:t>
      </w:r>
      <w:r w:rsidR="006F5289">
        <w:t xml:space="preserve">). </w:t>
      </w:r>
      <w:r w:rsidR="005F3B1C">
        <w:rPr>
          <w:rStyle w:val="sb8d990e2"/>
        </w:rPr>
        <w:t>L</w:t>
      </w:r>
      <w:r w:rsidR="00AE1D81">
        <w:rPr>
          <w:rStyle w:val="sb8d990e2"/>
        </w:rPr>
        <w:t>’</w:t>
      </w:r>
      <w:r w:rsidR="005F3B1C">
        <w:rPr>
          <w:rStyle w:val="sb8d990e2"/>
        </w:rPr>
        <w:t xml:space="preserve">objet de la requête </w:t>
      </w:r>
      <w:r w:rsidR="00BF76E9">
        <w:rPr>
          <w:rStyle w:val="sb8d990e2"/>
        </w:rPr>
        <w:t xml:space="preserve">tombe </w:t>
      </w:r>
      <w:r w:rsidR="005F3B1C">
        <w:rPr>
          <w:rStyle w:val="sb8d990e2"/>
        </w:rPr>
        <w:t xml:space="preserve">donc </w:t>
      </w:r>
      <w:r w:rsidR="00BF76E9">
        <w:rPr>
          <w:rStyle w:val="sb8d990e2"/>
        </w:rPr>
        <w:t>sous l</w:t>
      </w:r>
      <w:r w:rsidR="00AE1D81">
        <w:rPr>
          <w:rStyle w:val="sb8d990e2"/>
        </w:rPr>
        <w:t>’</w:t>
      </w:r>
      <w:r w:rsidR="00BF76E9">
        <w:rPr>
          <w:rStyle w:val="sb8d990e2"/>
        </w:rPr>
        <w:t>empire</w:t>
      </w:r>
      <w:r w:rsidR="005F3B1C">
        <w:rPr>
          <w:rStyle w:val="sb8d990e2"/>
        </w:rPr>
        <w:t xml:space="preserve"> de l</w:t>
      </w:r>
      <w:r w:rsidR="00AE1D81">
        <w:rPr>
          <w:rStyle w:val="sb8d990e2"/>
        </w:rPr>
        <w:t>’</w:t>
      </w:r>
      <w:r w:rsidR="005F3B1C">
        <w:rPr>
          <w:rStyle w:val="sb8d990e2"/>
        </w:rPr>
        <w:t>article 8 de la Convention. L</w:t>
      </w:r>
      <w:r w:rsidR="00AE1D81">
        <w:rPr>
          <w:rStyle w:val="sb8d990e2"/>
        </w:rPr>
        <w:t>’</w:t>
      </w:r>
      <w:r w:rsidR="005F3B1C">
        <w:rPr>
          <w:rStyle w:val="sb8d990e2"/>
        </w:rPr>
        <w:t>article 14 trouve dès lors à s</w:t>
      </w:r>
      <w:r w:rsidR="00AE1D81">
        <w:rPr>
          <w:rStyle w:val="sb8d990e2"/>
        </w:rPr>
        <w:t>’</w:t>
      </w:r>
      <w:r w:rsidR="005F3B1C">
        <w:rPr>
          <w:rStyle w:val="sb8d990e2"/>
        </w:rPr>
        <w:t>appliquer.</w:t>
      </w:r>
    </w:p>
    <w:p w:rsidR="005F3B1C" w:rsidRPr="007B6173" w:rsidRDefault="005F3B1C" w:rsidP="005F3B1C">
      <w:pPr>
        <w:pStyle w:val="ECHRHeading4"/>
      </w:pPr>
      <w:r>
        <w:t>b)  Autres motifs d</w:t>
      </w:r>
      <w:r w:rsidR="00AE1D81">
        <w:t>’</w:t>
      </w:r>
      <w:r>
        <w:t>irrecevabilité</w:t>
      </w:r>
    </w:p>
    <w:p w:rsidR="005B3EB2" w:rsidRPr="00685582" w:rsidRDefault="00F44484" w:rsidP="005B3EB2">
      <w:pPr>
        <w:pStyle w:val="ECHRPara"/>
      </w:pPr>
      <w:r>
        <w:fldChar w:fldCharType="begin"/>
      </w:r>
      <w:r>
        <w:instrText xml:space="preserve"> SEQ level0 \*arabic </w:instrText>
      </w:r>
      <w:r>
        <w:fldChar w:fldCharType="separate"/>
      </w:r>
      <w:r>
        <w:rPr>
          <w:noProof/>
        </w:rPr>
        <w:t>42</w:t>
      </w:r>
      <w:r>
        <w:rPr>
          <w:noProof/>
        </w:rPr>
        <w:fldChar w:fldCharType="end"/>
      </w:r>
      <w:r w:rsidR="005B3EB2" w:rsidRPr="00685582">
        <w:t xml:space="preserve">.  La Cour constate que </w:t>
      </w:r>
      <w:r w:rsidR="005634F3">
        <w:rPr>
          <w:rStyle w:val="JuParaCar"/>
        </w:rPr>
        <w:t>le présent</w:t>
      </w:r>
      <w:r w:rsidR="005634F3" w:rsidRPr="00685582">
        <w:rPr>
          <w:rStyle w:val="JuParaCar"/>
        </w:rPr>
        <w:t xml:space="preserve"> </w:t>
      </w:r>
      <w:r w:rsidR="005B3EB2" w:rsidRPr="00685582">
        <w:rPr>
          <w:rStyle w:val="JuParaCar"/>
        </w:rPr>
        <w:t xml:space="preserve">grief </w:t>
      </w:r>
      <w:r w:rsidR="005B3EB2" w:rsidRPr="00685582">
        <w:t>n</w:t>
      </w:r>
      <w:r w:rsidR="00AE1D81">
        <w:t>’</w:t>
      </w:r>
      <w:r w:rsidR="005B3EB2" w:rsidRPr="00685582">
        <w:t>est pas manifestement mal fondé au sens de l</w:t>
      </w:r>
      <w:r w:rsidR="00AE1D81">
        <w:t>’</w:t>
      </w:r>
      <w:r w:rsidR="005B3EB2" w:rsidRPr="00685582">
        <w:t>article 35 § 3 a) de la Convention</w:t>
      </w:r>
      <w:r w:rsidR="005634F3">
        <w:t xml:space="preserve">, et </w:t>
      </w:r>
      <w:r w:rsidR="005B3EB2" w:rsidRPr="00685582">
        <w:t xml:space="preserve">ne se heurte </w:t>
      </w:r>
      <w:r w:rsidR="005634F3">
        <w:t xml:space="preserve">par ailleurs </w:t>
      </w:r>
      <w:r w:rsidR="005B3EB2" w:rsidRPr="00685582">
        <w:t>à aucun autre motif d</w:t>
      </w:r>
      <w:r w:rsidR="00AE1D81">
        <w:t>’</w:t>
      </w:r>
      <w:r w:rsidR="005B3EB2" w:rsidRPr="00685582">
        <w:t>irrecevabilité. Il convient donc de le déclarer recevable.</w:t>
      </w:r>
    </w:p>
    <w:p w:rsidR="005B3EB2" w:rsidRDefault="005B3EB2" w:rsidP="005B3EB2">
      <w:pPr>
        <w:pStyle w:val="ECHRHeading2"/>
      </w:pPr>
      <w:r>
        <w:t>B.  Sur le fond</w:t>
      </w:r>
    </w:p>
    <w:p w:rsidR="007B6173" w:rsidRDefault="007B6173" w:rsidP="007B6173">
      <w:pPr>
        <w:pStyle w:val="ECHRHeading3"/>
      </w:pPr>
      <w:r>
        <w:t>1.  Arguments des parties</w:t>
      </w:r>
    </w:p>
    <w:p w:rsidR="007B6173" w:rsidRPr="007B6173" w:rsidRDefault="007B6173" w:rsidP="007B6173">
      <w:pPr>
        <w:pStyle w:val="ECHRHeading4"/>
      </w:pPr>
      <w:r>
        <w:t>a)  Le requérant</w:t>
      </w:r>
    </w:p>
    <w:p w:rsidR="00811D17" w:rsidRDefault="00F44484" w:rsidP="005B3EB2">
      <w:pPr>
        <w:pStyle w:val="ECHRPara"/>
      </w:pPr>
      <w:r>
        <w:fldChar w:fldCharType="begin"/>
      </w:r>
      <w:r>
        <w:instrText xml:space="preserve"> SEQ level0 </w:instrText>
      </w:r>
      <w:r>
        <w:instrText xml:space="preserve">\*arabic </w:instrText>
      </w:r>
      <w:r>
        <w:fldChar w:fldCharType="separate"/>
      </w:r>
      <w:r>
        <w:rPr>
          <w:noProof/>
        </w:rPr>
        <w:t>43</w:t>
      </w:r>
      <w:r>
        <w:rPr>
          <w:noProof/>
        </w:rPr>
        <w:fldChar w:fldCharType="end"/>
      </w:r>
      <w:r w:rsidR="005B3EB2">
        <w:t xml:space="preserve">.  Le </w:t>
      </w:r>
      <w:r w:rsidR="007B6173">
        <w:t xml:space="preserve">requérant observe que le </w:t>
      </w:r>
      <w:r w:rsidR="005B3EB2">
        <w:t>Gouvernement justifie la différence de traitement entre l</w:t>
      </w:r>
      <w:r w:rsidR="00EC739C">
        <w:t>ui</w:t>
      </w:r>
      <w:r w:rsidR="005B3EB2">
        <w:t xml:space="preserve"> et les ressortissants de l</w:t>
      </w:r>
      <w:r w:rsidR="00AE1D81">
        <w:t>’</w:t>
      </w:r>
      <w:r w:rsidR="005B3EB2">
        <w:t xml:space="preserve">Union européenne et/ou les réfugiés </w:t>
      </w:r>
      <w:r w:rsidR="005634F3">
        <w:t>par</w:t>
      </w:r>
      <w:r w:rsidR="005B3EB2">
        <w:t xml:space="preserve"> la </w:t>
      </w:r>
      <w:r w:rsidR="005634F3">
        <w:t xml:space="preserve">qualification donnée à </w:t>
      </w:r>
      <w:r w:rsidR="005B3EB2">
        <w:t>l</w:t>
      </w:r>
      <w:r w:rsidR="00AE1D81">
        <w:t>’</w:t>
      </w:r>
      <w:r w:rsidR="005B3EB2">
        <w:t>allocation (qui relèverait de l</w:t>
      </w:r>
      <w:r w:rsidR="00AE1D81">
        <w:t>’</w:t>
      </w:r>
      <w:r w:rsidR="00437596">
        <w:t> </w:t>
      </w:r>
      <w:r w:rsidR="005634F3">
        <w:t>« </w:t>
      </w:r>
      <w:r w:rsidR="005B3EB2">
        <w:t>assistance sociale</w:t>
      </w:r>
      <w:r w:rsidR="005634F3">
        <w:t> »</w:t>
      </w:r>
      <w:r w:rsidR="005B3EB2">
        <w:t>)</w:t>
      </w:r>
      <w:r w:rsidR="00EC739C">
        <w:t>,</w:t>
      </w:r>
      <w:r w:rsidR="005B3EB2">
        <w:t xml:space="preserve"> ainsi que </w:t>
      </w:r>
      <w:r w:rsidR="005634F3">
        <w:t>par les</w:t>
      </w:r>
      <w:r w:rsidR="005B3EB2">
        <w:t xml:space="preserve"> coûts financiers </w:t>
      </w:r>
      <w:r w:rsidR="005634F3">
        <w:t>qu</w:t>
      </w:r>
      <w:r w:rsidR="00AE1D81">
        <w:t>’</w:t>
      </w:r>
      <w:r w:rsidR="005634F3">
        <w:t>entraînerait</w:t>
      </w:r>
      <w:r w:rsidR="005B3EB2">
        <w:t xml:space="preserve"> l</w:t>
      </w:r>
      <w:r w:rsidR="00AE1D81">
        <w:t>’</w:t>
      </w:r>
      <w:r w:rsidR="005B3EB2">
        <w:t xml:space="preserve">extension éventuelle </w:t>
      </w:r>
      <w:r w:rsidR="005634F3">
        <w:t xml:space="preserve">de son </w:t>
      </w:r>
      <w:r w:rsidR="005B3EB2">
        <w:t>bénéfice</w:t>
      </w:r>
      <w:r w:rsidR="005634F3">
        <w:t xml:space="preserve"> à de nouvelles catégories de personnes</w:t>
      </w:r>
      <w:r w:rsidR="005B3EB2">
        <w:t xml:space="preserve">. </w:t>
      </w:r>
      <w:r w:rsidR="00811D17">
        <w:t>Or, selon lui, pareilles</w:t>
      </w:r>
      <w:r w:rsidR="005B3EB2">
        <w:t xml:space="preserve"> justifications </w:t>
      </w:r>
      <w:r w:rsidR="00811D17">
        <w:t xml:space="preserve">sont </w:t>
      </w:r>
      <w:r w:rsidR="005B3EB2">
        <w:t>insuffisantes au regard de la Convention et de la jurisprudence de la Cour constitutionnelle italienne.</w:t>
      </w:r>
    </w:p>
    <w:p w:rsidR="005B3EB2" w:rsidRPr="00B80BA6" w:rsidRDefault="00811D17" w:rsidP="005B3EB2">
      <w:pPr>
        <w:pStyle w:val="ECHRPara"/>
      </w:pPr>
      <w:r>
        <w:t>Le requérant concède</w:t>
      </w:r>
      <w:r w:rsidR="005B3EB2">
        <w:t xml:space="preserve"> que dans l</w:t>
      </w:r>
      <w:r w:rsidR="00AE1D81">
        <w:t>’</w:t>
      </w:r>
      <w:r w:rsidR="005B3EB2">
        <w:t xml:space="preserve">affaire </w:t>
      </w:r>
      <w:r w:rsidR="005B3EB2">
        <w:rPr>
          <w:i/>
        </w:rPr>
        <w:t xml:space="preserve">Ponomaryovi c. Bulgarie </w:t>
      </w:r>
      <w:r w:rsidR="005B3EB2">
        <w:t>(n</w:t>
      </w:r>
      <w:r w:rsidR="00143C2E" w:rsidRPr="00143C2E">
        <w:rPr>
          <w:vertAlign w:val="superscript"/>
        </w:rPr>
        <w:t>o</w:t>
      </w:r>
      <w:r w:rsidR="00E76AC7">
        <w:t> </w:t>
      </w:r>
      <w:r w:rsidR="005B3EB2">
        <w:t xml:space="preserve">5335/05, § 54, </w:t>
      </w:r>
      <w:r w:rsidR="00E76AC7">
        <w:t xml:space="preserve">CEDH </w:t>
      </w:r>
      <w:r w:rsidR="005B3EB2">
        <w:t xml:space="preserve">2011) la Cour a estimé </w:t>
      </w:r>
      <w:r w:rsidR="005B3EB2">
        <w:rPr>
          <w:rStyle w:val="sb8d990e2"/>
        </w:rPr>
        <w:t xml:space="preserve">que le traitement préférentiel dont bénéficient les nationaux des </w:t>
      </w:r>
      <w:r w:rsidR="005B3EB2">
        <w:rPr>
          <w:rStyle w:val="sb8d990e2"/>
          <w:rFonts w:cstheme="minorHAnsi"/>
        </w:rPr>
        <w:t>É</w:t>
      </w:r>
      <w:r w:rsidR="005B3EB2">
        <w:rPr>
          <w:rStyle w:val="sb8d990e2"/>
        </w:rPr>
        <w:t xml:space="preserve">tats membres de </w:t>
      </w:r>
      <w:r w:rsidR="005B3EB2">
        <w:rPr>
          <w:rStyle w:val="wordhighlighted"/>
        </w:rPr>
        <w:t>l</w:t>
      </w:r>
      <w:r w:rsidR="00AE1D81">
        <w:rPr>
          <w:rStyle w:val="wordhighlighted"/>
        </w:rPr>
        <w:t>’</w:t>
      </w:r>
      <w:r w:rsidR="005B3EB2">
        <w:rPr>
          <w:rStyle w:val="wordhighlighted"/>
        </w:rPr>
        <w:t>Union</w:t>
      </w:r>
      <w:r w:rsidR="005B3EB2">
        <w:rPr>
          <w:rStyle w:val="sb8d990e2"/>
        </w:rPr>
        <w:t xml:space="preserve"> </w:t>
      </w:r>
      <w:r w:rsidR="005B3EB2">
        <w:rPr>
          <w:rStyle w:val="wordhighlighted"/>
        </w:rPr>
        <w:t>européenne repose</w:t>
      </w:r>
      <w:r w:rsidR="005B3EB2">
        <w:rPr>
          <w:rStyle w:val="sb8d990e2"/>
        </w:rPr>
        <w:t xml:space="preserve"> </w:t>
      </w:r>
      <w:r w:rsidR="005B3EB2">
        <w:rPr>
          <w:rStyle w:val="wordhighlighted"/>
        </w:rPr>
        <w:t>sur</w:t>
      </w:r>
      <w:r w:rsidR="005B3EB2">
        <w:rPr>
          <w:rStyle w:val="sb8d990e2"/>
        </w:rPr>
        <w:t xml:space="preserve"> </w:t>
      </w:r>
      <w:r w:rsidR="005B3EB2">
        <w:rPr>
          <w:rStyle w:val="wordhighlighted"/>
        </w:rPr>
        <w:t>une</w:t>
      </w:r>
      <w:r w:rsidR="005B3EB2">
        <w:rPr>
          <w:rStyle w:val="sb8d990e2"/>
        </w:rPr>
        <w:t xml:space="preserve"> </w:t>
      </w:r>
      <w:r w:rsidR="005B3EB2">
        <w:rPr>
          <w:rStyle w:val="wordhighlighted"/>
        </w:rPr>
        <w:t>justification</w:t>
      </w:r>
      <w:r w:rsidR="005B3EB2">
        <w:rPr>
          <w:rStyle w:val="sb8d990e2"/>
        </w:rPr>
        <w:t xml:space="preserve"> </w:t>
      </w:r>
      <w:r w:rsidR="005B3EB2">
        <w:rPr>
          <w:rStyle w:val="wordhighlighted"/>
        </w:rPr>
        <w:t>objective</w:t>
      </w:r>
      <w:r w:rsidR="005B3EB2">
        <w:rPr>
          <w:rStyle w:val="sb8d990e2"/>
        </w:rPr>
        <w:t xml:space="preserve"> et </w:t>
      </w:r>
      <w:r w:rsidR="005B3EB2">
        <w:rPr>
          <w:rStyle w:val="wordhighlighted"/>
        </w:rPr>
        <w:t>raisonnable</w:t>
      </w:r>
      <w:r w:rsidR="005B3EB2">
        <w:rPr>
          <w:rStyle w:val="sb8d990e2"/>
        </w:rPr>
        <w:t xml:space="preserve">, </w:t>
      </w:r>
      <w:r w:rsidR="005B3EB2">
        <w:rPr>
          <w:rStyle w:val="wordhighlighted"/>
        </w:rPr>
        <w:t>l</w:t>
      </w:r>
      <w:r w:rsidR="00AE1D81">
        <w:rPr>
          <w:rStyle w:val="wordhighlighted"/>
        </w:rPr>
        <w:t>’</w:t>
      </w:r>
      <w:r w:rsidR="005B3EB2">
        <w:rPr>
          <w:rStyle w:val="wordhighlighted"/>
        </w:rPr>
        <w:t>Union</w:t>
      </w:r>
      <w:r w:rsidR="005B3EB2">
        <w:rPr>
          <w:rStyle w:val="sb8d990e2"/>
        </w:rPr>
        <w:t xml:space="preserve"> </w:t>
      </w:r>
      <w:r w:rsidR="005B3EB2">
        <w:rPr>
          <w:rStyle w:val="wordhighlighted"/>
        </w:rPr>
        <w:t>européenne</w:t>
      </w:r>
      <w:r w:rsidR="005B3EB2">
        <w:rPr>
          <w:rStyle w:val="sb8d990e2"/>
        </w:rPr>
        <w:t xml:space="preserve"> </w:t>
      </w:r>
      <w:r w:rsidR="005B3EB2">
        <w:rPr>
          <w:rStyle w:val="wordhighlighted"/>
        </w:rPr>
        <w:t>constituant</w:t>
      </w:r>
      <w:r w:rsidR="005B3EB2">
        <w:rPr>
          <w:rStyle w:val="sb8d990e2"/>
        </w:rPr>
        <w:t xml:space="preserve"> un </w:t>
      </w:r>
      <w:r w:rsidR="005B3EB2">
        <w:rPr>
          <w:rStyle w:val="wordhighlighted"/>
        </w:rPr>
        <w:t>ordre</w:t>
      </w:r>
      <w:r w:rsidR="005B3EB2">
        <w:rPr>
          <w:rStyle w:val="sb8d990e2"/>
        </w:rPr>
        <w:t xml:space="preserve"> </w:t>
      </w:r>
      <w:r w:rsidR="005B3EB2">
        <w:rPr>
          <w:rStyle w:val="wordhighlighted"/>
        </w:rPr>
        <w:t>juridique</w:t>
      </w:r>
      <w:r w:rsidR="005B3EB2">
        <w:rPr>
          <w:rStyle w:val="sb8d990e2"/>
        </w:rPr>
        <w:t xml:space="preserve"> </w:t>
      </w:r>
      <w:r w:rsidR="005B3EB2">
        <w:rPr>
          <w:rStyle w:val="wordhighlighted"/>
        </w:rPr>
        <w:t>particulier</w:t>
      </w:r>
      <w:r w:rsidR="005B3EB2">
        <w:rPr>
          <w:rStyle w:val="sb8d990e2"/>
        </w:rPr>
        <w:t xml:space="preserve">, </w:t>
      </w:r>
      <w:r w:rsidR="005B3EB2">
        <w:rPr>
          <w:rStyle w:val="wordhighlighted"/>
        </w:rPr>
        <w:t>qui</w:t>
      </w:r>
      <w:r w:rsidR="005B3EB2">
        <w:rPr>
          <w:rStyle w:val="sb8d990e2"/>
        </w:rPr>
        <w:t xml:space="preserve"> a en </w:t>
      </w:r>
      <w:r w:rsidR="005B3EB2">
        <w:rPr>
          <w:rStyle w:val="wordhighlighted"/>
        </w:rPr>
        <w:t>outre</w:t>
      </w:r>
      <w:r w:rsidR="005B3EB2">
        <w:rPr>
          <w:rStyle w:val="sb8d990e2"/>
        </w:rPr>
        <w:t xml:space="preserve"> </w:t>
      </w:r>
      <w:r w:rsidR="005B3EB2">
        <w:rPr>
          <w:rStyle w:val="wordhighlighted"/>
        </w:rPr>
        <w:t>établi</w:t>
      </w:r>
      <w:r w:rsidR="005B3EB2">
        <w:rPr>
          <w:rStyle w:val="sb8d990e2"/>
        </w:rPr>
        <w:t xml:space="preserve"> sa </w:t>
      </w:r>
      <w:r w:rsidR="005B3EB2">
        <w:rPr>
          <w:rStyle w:val="wordhighlighted"/>
        </w:rPr>
        <w:t>propre</w:t>
      </w:r>
      <w:r w:rsidR="005B3EB2">
        <w:rPr>
          <w:rStyle w:val="sb8d990e2"/>
        </w:rPr>
        <w:t xml:space="preserve"> </w:t>
      </w:r>
      <w:r w:rsidR="005B3EB2">
        <w:rPr>
          <w:rStyle w:val="wordhighlighted"/>
        </w:rPr>
        <w:t>citoyenneté. Cependant, il faut</w:t>
      </w:r>
      <w:r>
        <w:rPr>
          <w:rStyle w:val="wordhighlighted"/>
        </w:rPr>
        <w:t xml:space="preserve"> selon lui</w:t>
      </w:r>
      <w:r w:rsidR="005B3EB2">
        <w:rPr>
          <w:rStyle w:val="wordhighlighted"/>
        </w:rPr>
        <w:t xml:space="preserve"> tenir compte du fait que les ressortissants non communautaires </w:t>
      </w:r>
      <w:r>
        <w:rPr>
          <w:rStyle w:val="wordhighlighted"/>
        </w:rPr>
        <w:t xml:space="preserve">contribuent </w:t>
      </w:r>
      <w:r w:rsidR="005B3EB2">
        <w:rPr>
          <w:rStyle w:val="wordhighlighted"/>
        </w:rPr>
        <w:t xml:space="preserve">eux aussi activement aux ressources du pays, notamment par </w:t>
      </w:r>
      <w:r>
        <w:rPr>
          <w:rStyle w:val="wordhighlighted"/>
        </w:rPr>
        <w:t xml:space="preserve">le surcroît </w:t>
      </w:r>
      <w:r w:rsidR="005B3EB2">
        <w:rPr>
          <w:rStyle w:val="wordhighlighted"/>
        </w:rPr>
        <w:t xml:space="preserve">de cotisations </w:t>
      </w:r>
      <w:r>
        <w:rPr>
          <w:rStyle w:val="wordhighlighted"/>
        </w:rPr>
        <w:t>qu</w:t>
      </w:r>
      <w:r w:rsidR="00AE1D81">
        <w:rPr>
          <w:rStyle w:val="wordhighlighted"/>
        </w:rPr>
        <w:t>’</w:t>
      </w:r>
      <w:r>
        <w:rPr>
          <w:rStyle w:val="wordhighlighted"/>
        </w:rPr>
        <w:t xml:space="preserve">ils apportent </w:t>
      </w:r>
      <w:r w:rsidR="005B3EB2">
        <w:rPr>
          <w:rStyle w:val="wordhighlighted"/>
        </w:rPr>
        <w:t xml:space="preserve">aux assurances sociales et par </w:t>
      </w:r>
      <w:r>
        <w:rPr>
          <w:rStyle w:val="wordhighlighted"/>
        </w:rPr>
        <w:t xml:space="preserve">leur assujettissement à </w:t>
      </w:r>
      <w:r w:rsidR="005B3EB2">
        <w:rPr>
          <w:rStyle w:val="wordhighlighted"/>
        </w:rPr>
        <w:t>l</w:t>
      </w:r>
      <w:r w:rsidR="00AE1D81">
        <w:rPr>
          <w:rStyle w:val="wordhighlighted"/>
        </w:rPr>
        <w:t>’</w:t>
      </w:r>
      <w:r w:rsidR="005B3EB2">
        <w:rPr>
          <w:rStyle w:val="wordhighlighted"/>
        </w:rPr>
        <w:t xml:space="preserve">impôt sur le revenu. </w:t>
      </w:r>
      <w:r w:rsidR="001670B9">
        <w:rPr>
          <w:rStyle w:val="wordhighlighted"/>
        </w:rPr>
        <w:t xml:space="preserve">Le requérant ajoute que la </w:t>
      </w:r>
      <w:r w:rsidR="005B3EB2">
        <w:rPr>
          <w:rStyle w:val="wordhighlighted"/>
        </w:rPr>
        <w:t xml:space="preserve">discrimination dont </w:t>
      </w:r>
      <w:r>
        <w:rPr>
          <w:rStyle w:val="wordhighlighted"/>
        </w:rPr>
        <w:t>il</w:t>
      </w:r>
      <w:r w:rsidR="005B3EB2">
        <w:rPr>
          <w:rStyle w:val="wordhighlighted"/>
        </w:rPr>
        <w:t xml:space="preserve"> a été victime était fondée sur la nationalité, et non sur un statut qui lui </w:t>
      </w:r>
      <w:r>
        <w:rPr>
          <w:rStyle w:val="wordhighlighted"/>
        </w:rPr>
        <w:t xml:space="preserve">aurait été </w:t>
      </w:r>
      <w:r w:rsidR="005B3EB2">
        <w:rPr>
          <w:rStyle w:val="wordhighlighted"/>
        </w:rPr>
        <w:t xml:space="preserve">conféré par la loi au regard du droit des étrangers (voir, </w:t>
      </w:r>
      <w:r w:rsidR="005B3EB2">
        <w:rPr>
          <w:rStyle w:val="wordhighlighted"/>
          <w:i/>
        </w:rPr>
        <w:t>a contrario</w:t>
      </w:r>
      <w:r w:rsidR="005B3EB2">
        <w:rPr>
          <w:rStyle w:val="wordhighlighted"/>
        </w:rPr>
        <w:t xml:space="preserve">, </w:t>
      </w:r>
      <w:r w:rsidR="005B3EB2">
        <w:rPr>
          <w:rStyle w:val="wordhighlighted"/>
          <w:i/>
        </w:rPr>
        <w:t>Bah c. Royaume-Uni</w:t>
      </w:r>
      <w:r w:rsidR="005B3EB2">
        <w:rPr>
          <w:rStyle w:val="wordhighlighted"/>
        </w:rPr>
        <w:t>, n</w:t>
      </w:r>
      <w:r w:rsidR="00143C2E" w:rsidRPr="00143C2E">
        <w:rPr>
          <w:rStyle w:val="wordhighlighted"/>
          <w:vertAlign w:val="superscript"/>
        </w:rPr>
        <w:t>o</w:t>
      </w:r>
      <w:r w:rsidR="006B72C2">
        <w:rPr>
          <w:rStyle w:val="wordhighlighted"/>
        </w:rPr>
        <w:t> </w:t>
      </w:r>
      <w:r w:rsidR="005B3EB2">
        <w:rPr>
          <w:rStyle w:val="textcolumn"/>
        </w:rPr>
        <w:t>56328/07</w:t>
      </w:r>
      <w:r w:rsidR="005B3EB2">
        <w:rPr>
          <w:rStyle w:val="wordhighlighted"/>
        </w:rPr>
        <w:t xml:space="preserve">, </w:t>
      </w:r>
      <w:r w:rsidR="006B72C2">
        <w:rPr>
          <w:rStyle w:val="wordhighlighted"/>
        </w:rPr>
        <w:t>CEDH</w:t>
      </w:r>
      <w:r w:rsidR="005B3EB2">
        <w:rPr>
          <w:rStyle w:val="wordhighlighted"/>
        </w:rPr>
        <w:t xml:space="preserve"> 2011). Par ailleurs, il convien</w:t>
      </w:r>
      <w:r>
        <w:rPr>
          <w:rStyle w:val="wordhighlighted"/>
        </w:rPr>
        <w:t>drai</w:t>
      </w:r>
      <w:r w:rsidR="005B3EB2">
        <w:rPr>
          <w:rStyle w:val="wordhighlighted"/>
        </w:rPr>
        <w:t>t de rappeler que la directive CE 109/2003 vise à garantir l</w:t>
      </w:r>
      <w:r w:rsidR="00AE1D81">
        <w:rPr>
          <w:rStyle w:val="wordhighlighted"/>
        </w:rPr>
        <w:t>’</w:t>
      </w:r>
      <w:r w:rsidR="005B3EB2">
        <w:rPr>
          <w:rStyle w:val="wordhighlighted"/>
        </w:rPr>
        <w:t xml:space="preserve">intégration des ressortissants des pays tiers durablement installés dans un </w:t>
      </w:r>
      <w:r w:rsidR="005B3EB2">
        <w:rPr>
          <w:rStyle w:val="wordhighlighted"/>
          <w:rFonts w:cstheme="minorHAnsi"/>
        </w:rPr>
        <w:t>État membre.</w:t>
      </w:r>
    </w:p>
    <w:p w:rsidR="005B3EB2" w:rsidRDefault="005B3EB2" w:rsidP="005B3EB2">
      <w:pPr>
        <w:pStyle w:val="ECHRHeading4"/>
      </w:pPr>
      <w:r>
        <w:t>b)  Le Gouvernement</w:t>
      </w:r>
    </w:p>
    <w:bookmarkStart w:id="6" w:name="budget"/>
    <w:p w:rsidR="005B3EB2" w:rsidRDefault="00D142FB" w:rsidP="005B3EB2">
      <w:pPr>
        <w:pStyle w:val="ECHRPara"/>
      </w:pPr>
      <w:r>
        <w:fldChar w:fldCharType="begin"/>
      </w:r>
      <w:r>
        <w:instrText xml:space="preserve"> SEQ level0 \*arabic </w:instrText>
      </w:r>
      <w:r>
        <w:fldChar w:fldCharType="separate"/>
      </w:r>
      <w:r w:rsidR="00F44484">
        <w:rPr>
          <w:noProof/>
        </w:rPr>
        <w:t>44</w:t>
      </w:r>
      <w:r>
        <w:rPr>
          <w:noProof/>
        </w:rPr>
        <w:fldChar w:fldCharType="end"/>
      </w:r>
      <w:bookmarkEnd w:id="6"/>
      <w:r w:rsidR="005B3EB2">
        <w:t>.  </w:t>
      </w:r>
      <w:r w:rsidR="007B6173">
        <w:t xml:space="preserve">Le Gouvernement </w:t>
      </w:r>
      <w:r w:rsidR="001670B9">
        <w:t xml:space="preserve">expose </w:t>
      </w:r>
      <w:r w:rsidR="007B6173">
        <w:t xml:space="preserve">que </w:t>
      </w:r>
      <w:r w:rsidR="001670B9">
        <w:t>l</w:t>
      </w:r>
      <w:r w:rsidR="00AE1D81">
        <w:t>’</w:t>
      </w:r>
      <w:r w:rsidR="001670B9">
        <w:t xml:space="preserve">extension du bénéfice de </w:t>
      </w:r>
      <w:r w:rsidR="007B6173">
        <w:t>l</w:t>
      </w:r>
      <w:r w:rsidR="00AE1D81">
        <w:t>’</w:t>
      </w:r>
      <w:r w:rsidR="007B6173">
        <w:t>allocation litigieuse</w:t>
      </w:r>
      <w:r w:rsidR="005B3EB2">
        <w:t xml:space="preserve"> a été refusée uniquement pour des raisons budgétaires, e</w:t>
      </w:r>
      <w:r w:rsidR="001670B9">
        <w:t>t</w:t>
      </w:r>
      <w:r w:rsidR="005B3EB2">
        <w:t xml:space="preserve"> non pour des raisons discriminatoires.</w:t>
      </w:r>
    </w:p>
    <w:p w:rsidR="00BF2DCF" w:rsidRDefault="00BF2DCF" w:rsidP="00BF2DCF">
      <w:pPr>
        <w:pStyle w:val="ECHRHeading3"/>
      </w:pPr>
      <w:r>
        <w:t>2.  Appréciation de la Cour</w:t>
      </w:r>
    </w:p>
    <w:p w:rsidR="00BF2DCF" w:rsidRDefault="00BF2DCF" w:rsidP="006F5289">
      <w:pPr>
        <w:pStyle w:val="ECHRHeading4"/>
      </w:pPr>
      <w:r>
        <w:t>b)  Principes généraux</w:t>
      </w:r>
    </w:p>
    <w:p w:rsidR="00BF76E9" w:rsidRPr="00BF76E9" w:rsidRDefault="00F44484" w:rsidP="00BF76E9">
      <w:pPr>
        <w:pStyle w:val="ECHRPara"/>
      </w:pPr>
      <w:r>
        <w:fldChar w:fldCharType="begin"/>
      </w:r>
      <w:r>
        <w:instrText xml:space="preserve"> SEQ level0 \*arabic </w:instrText>
      </w:r>
      <w:r>
        <w:fldChar w:fldCharType="separate"/>
      </w:r>
      <w:r>
        <w:rPr>
          <w:noProof/>
        </w:rPr>
        <w:t>45</w:t>
      </w:r>
      <w:r>
        <w:rPr>
          <w:noProof/>
        </w:rPr>
        <w:fldChar w:fldCharType="end"/>
      </w:r>
      <w:r w:rsidR="00BF2DCF">
        <w:t>.  </w:t>
      </w:r>
      <w:r w:rsidR="00BF76E9" w:rsidRPr="00BF76E9">
        <w:t>Selon la jurisprudence constante de la Cour, pour qu</w:t>
      </w:r>
      <w:r w:rsidR="00AE1D81">
        <w:t>’</w:t>
      </w:r>
      <w:r w:rsidR="00BF76E9" w:rsidRPr="00BF76E9">
        <w:t>une question se pose au regard de l</w:t>
      </w:r>
      <w:r w:rsidR="00AE1D81">
        <w:t>’</w:t>
      </w:r>
      <w:r w:rsidR="00BF76E9" w:rsidRPr="00BF76E9">
        <w:t>article 14, il doit y avoir une différence dans le traitement de personnes placées dans des situations comparables. Une telle différence est discriminatoire si elle ne repose pas sur une justification objective et raisonnable, c</w:t>
      </w:r>
      <w:r w:rsidR="00AE1D81">
        <w:t>’</w:t>
      </w:r>
      <w:r w:rsidR="00BF76E9" w:rsidRPr="00BF76E9">
        <w:t>est-à-dire si elle ne poursuit pas un but légitime ou s</w:t>
      </w:r>
      <w:r w:rsidR="00AE1D81">
        <w:t>’</w:t>
      </w:r>
      <w:r w:rsidR="00BF76E9" w:rsidRPr="00BF76E9">
        <w:t>il n</w:t>
      </w:r>
      <w:r w:rsidR="00AE1D81">
        <w:t>’</w:t>
      </w:r>
      <w:r w:rsidR="00BF76E9" w:rsidRPr="00BF76E9">
        <w:t>y a pas un rapport raisonnable de proportionnalité entre les moyens employés et le but visé. Les États contractants jouissent d</w:t>
      </w:r>
      <w:r w:rsidR="00AE1D81">
        <w:t>’</w:t>
      </w:r>
      <w:r w:rsidR="00BF76E9" w:rsidRPr="00BF76E9">
        <w:t>une certaine marge d</w:t>
      </w:r>
      <w:r w:rsidR="00AE1D81">
        <w:t>’</w:t>
      </w:r>
      <w:r w:rsidR="00BF76E9" w:rsidRPr="00BF76E9">
        <w:t>appréciation pour déterminer si et dans quelle mesure des différences entre des situations à d</w:t>
      </w:r>
      <w:r w:rsidR="00AE1D81">
        <w:t>’</w:t>
      </w:r>
      <w:r w:rsidR="00BF76E9" w:rsidRPr="00BF76E9">
        <w:t>autres égards analogues justifient des distinctions de traitement (</w:t>
      </w:r>
      <w:r w:rsidR="00BF76E9" w:rsidRPr="00BF76E9">
        <w:rPr>
          <w:i/>
        </w:rPr>
        <w:t>X et autres c. Autriche</w:t>
      </w:r>
      <w:r w:rsidR="00BF76E9" w:rsidRPr="00BF76E9">
        <w:t xml:space="preserve"> [GC], n</w:t>
      </w:r>
      <w:r w:rsidR="00A95CCF" w:rsidRPr="00A95CCF">
        <w:rPr>
          <w:vertAlign w:val="superscript"/>
        </w:rPr>
        <w:t>o</w:t>
      </w:r>
      <w:r w:rsidR="00BF76E9" w:rsidRPr="00BF76E9">
        <w:t xml:space="preserve"> 19010/07, § 98, CEDH</w:t>
      </w:r>
      <w:r w:rsidR="00BF76E9">
        <w:t>-</w:t>
      </w:r>
      <w:r w:rsidR="00BF76E9" w:rsidRPr="00BF76E9">
        <w:t xml:space="preserve">2013, et </w:t>
      </w:r>
      <w:r w:rsidR="00BF76E9" w:rsidRPr="00BF76E9">
        <w:rPr>
          <w:i/>
        </w:rPr>
        <w:t>Vallianatos c. Grèce</w:t>
      </w:r>
      <w:r w:rsidR="00BF76E9" w:rsidRPr="00BF76E9">
        <w:t xml:space="preserve"> [GC], n</w:t>
      </w:r>
      <w:r w:rsidR="00BF76E9" w:rsidRPr="00BF76E9">
        <w:rPr>
          <w:vertAlign w:val="superscript"/>
        </w:rPr>
        <w:t>os</w:t>
      </w:r>
      <w:r w:rsidR="00A95CCF">
        <w:t xml:space="preserve"> </w:t>
      </w:r>
      <w:r w:rsidR="00BF76E9" w:rsidRPr="00BF76E9">
        <w:t>29381/09 et 32684/09, § 76, CEDH</w:t>
      </w:r>
      <w:r w:rsidR="00BF76E9">
        <w:t>-</w:t>
      </w:r>
      <w:r w:rsidR="00BF76E9" w:rsidRPr="00BF76E9">
        <w:t>2013). La notion de discrimination au sens de l</w:t>
      </w:r>
      <w:r w:rsidR="00AE1D81">
        <w:t>’</w:t>
      </w:r>
      <w:r w:rsidR="00BF76E9" w:rsidRPr="00BF76E9">
        <w:t>article 14 englobe également les cas dans lesquels un individu ou un groupe se voit, sans justification adéquate, moins bien traité qu</w:t>
      </w:r>
      <w:r w:rsidR="00AE1D81">
        <w:t>’</w:t>
      </w:r>
      <w:r w:rsidR="00BF76E9" w:rsidRPr="00BF76E9">
        <w:t>un autre, même si la Convention ne requiert pas le traitement plus favorable (</w:t>
      </w:r>
      <w:r w:rsidR="00BF76E9" w:rsidRPr="00BF76E9">
        <w:rPr>
          <w:i/>
        </w:rPr>
        <w:t>Abdulaziz, Cabales et Balkandali c. Royaume-Uni</w:t>
      </w:r>
      <w:r w:rsidR="00BF76E9" w:rsidRPr="00BF76E9">
        <w:t>, 28 mai 1985, § 82, série A n</w:t>
      </w:r>
      <w:r w:rsidR="00A95CCF" w:rsidRPr="00A95CCF">
        <w:rPr>
          <w:vertAlign w:val="superscript"/>
        </w:rPr>
        <w:t>o</w:t>
      </w:r>
      <w:r w:rsidR="00BF76E9" w:rsidRPr="00BF76E9">
        <w:t xml:space="preserve"> 94).</w:t>
      </w:r>
    </w:p>
    <w:bookmarkStart w:id="7" w:name="jurisprudencenationnalité"/>
    <w:p w:rsidR="00BF76E9" w:rsidRPr="00BF76E9" w:rsidRDefault="00BF76E9" w:rsidP="00BF76E9">
      <w:pPr>
        <w:pStyle w:val="ECHRPara"/>
      </w:pPr>
      <w:r>
        <w:fldChar w:fldCharType="begin"/>
      </w:r>
      <w:r>
        <w:instrText xml:space="preserve"> SEQ level0 \*arabic </w:instrText>
      </w:r>
      <w:r>
        <w:fldChar w:fldCharType="separate"/>
      </w:r>
      <w:r w:rsidR="00F44484">
        <w:rPr>
          <w:noProof/>
        </w:rPr>
        <w:t>46</w:t>
      </w:r>
      <w:r>
        <w:fldChar w:fldCharType="end"/>
      </w:r>
      <w:bookmarkEnd w:id="7"/>
      <w:r>
        <w:t>.  </w:t>
      </w:r>
      <w:r w:rsidRPr="00BF76E9">
        <w:t>Par ailleurs, les États contractants jouissent d</w:t>
      </w:r>
      <w:r w:rsidR="00AE1D81">
        <w:t>’</w:t>
      </w:r>
      <w:r w:rsidRPr="00BF76E9">
        <w:t>une certaine marge d</w:t>
      </w:r>
      <w:r w:rsidR="00AE1D81">
        <w:t>’</w:t>
      </w:r>
      <w:r w:rsidRPr="00BF76E9">
        <w:t>appréciation pour déterminer si et dans quelle mesure des différences entre des situations à d</w:t>
      </w:r>
      <w:r w:rsidR="00AE1D81">
        <w:t>’</w:t>
      </w:r>
      <w:r w:rsidRPr="00BF76E9">
        <w:t>autres égards analogues justifient des différences de traitement (</w:t>
      </w:r>
      <w:r w:rsidRPr="00FC4760">
        <w:rPr>
          <w:i/>
        </w:rPr>
        <w:t>X et autres c. Autriche</w:t>
      </w:r>
      <w:r w:rsidRPr="00BF76E9">
        <w:t xml:space="preserve">, précité, § 98, et </w:t>
      </w:r>
      <w:r w:rsidRPr="00FC4760">
        <w:rPr>
          <w:i/>
        </w:rPr>
        <w:t>Vallianatos c. Grèce</w:t>
      </w:r>
      <w:r w:rsidRPr="00BF76E9">
        <w:t>, précité, § 76). L</w:t>
      </w:r>
      <w:r w:rsidR="00AE1D81">
        <w:t>’</w:t>
      </w:r>
      <w:r w:rsidRPr="00BF76E9">
        <w:t>étendue de cette marge d</w:t>
      </w:r>
      <w:r w:rsidR="00AE1D81">
        <w:t>’</w:t>
      </w:r>
      <w:r w:rsidRPr="00BF76E9">
        <w:t>appréciation varie selon les circonstances, les domaines et le contexte, mais il appartient à la Cour de statuer en dernier ressort sur le respect des exigences de la Convention. Une ample latitude est d</w:t>
      </w:r>
      <w:r w:rsidR="00AE1D81">
        <w:t>’</w:t>
      </w:r>
      <w:r w:rsidRPr="00BF76E9">
        <w:t>ordinaire laissée à l</w:t>
      </w:r>
      <w:r w:rsidR="00AE1D81">
        <w:t>’</w:t>
      </w:r>
      <w:r>
        <w:rPr>
          <w:rFonts w:cstheme="minorHAnsi"/>
        </w:rPr>
        <w:t>É</w:t>
      </w:r>
      <w:r w:rsidRPr="00BF76E9">
        <w:t>tat pour prendre des mesures d</w:t>
      </w:r>
      <w:r w:rsidR="00AE1D81">
        <w:t>’</w:t>
      </w:r>
      <w:r w:rsidRPr="00BF76E9">
        <w:t>ordre général en matière économique ou sociale (</w:t>
      </w:r>
      <w:r w:rsidRPr="00FC4760">
        <w:rPr>
          <w:i/>
        </w:rPr>
        <w:t>Burden c. Royaume-Uni</w:t>
      </w:r>
      <w:r w:rsidRPr="00BF76E9">
        <w:t xml:space="preserve"> [GC], n</w:t>
      </w:r>
      <w:r w:rsidR="00A95CCF" w:rsidRPr="00A95CCF">
        <w:rPr>
          <w:vertAlign w:val="superscript"/>
        </w:rPr>
        <w:t>o</w:t>
      </w:r>
      <w:r w:rsidRPr="00BF76E9">
        <w:t xml:space="preserve"> 13378/05, § 60, CEDH</w:t>
      </w:r>
      <w:r>
        <w:t>-</w:t>
      </w:r>
      <w:r w:rsidRPr="00BF76E9">
        <w:t>2008</w:t>
      </w:r>
      <w:r>
        <w:t> ;</w:t>
      </w:r>
      <w:r w:rsidRPr="00BF76E9">
        <w:t xml:space="preserve"> </w:t>
      </w:r>
      <w:r w:rsidRPr="00FC4760">
        <w:rPr>
          <w:i/>
        </w:rPr>
        <w:t>Carson et autres c. Royaume-Uni</w:t>
      </w:r>
      <w:r w:rsidRPr="00BF76E9">
        <w:t xml:space="preserve"> [GC], n</w:t>
      </w:r>
      <w:r w:rsidR="00A95CCF" w:rsidRPr="00A95CCF">
        <w:rPr>
          <w:vertAlign w:val="superscript"/>
        </w:rPr>
        <w:t>o</w:t>
      </w:r>
      <w:r w:rsidRPr="00BF76E9">
        <w:t xml:space="preserve"> 42184/05, § 61, CEDH</w:t>
      </w:r>
      <w:r>
        <w:t>-</w:t>
      </w:r>
      <w:r w:rsidRPr="00BF76E9">
        <w:t>2010</w:t>
      </w:r>
      <w:r>
        <w:t> ;</w:t>
      </w:r>
      <w:r w:rsidRPr="00BF76E9">
        <w:t xml:space="preserve"> </w:t>
      </w:r>
      <w:r w:rsidRPr="00FC4760">
        <w:rPr>
          <w:i/>
        </w:rPr>
        <w:t>Şerife Yiğit c. Turquie</w:t>
      </w:r>
      <w:r w:rsidRPr="00BF76E9">
        <w:t xml:space="preserve"> [GC], n</w:t>
      </w:r>
      <w:r w:rsidR="00A95CCF" w:rsidRPr="00A95CCF">
        <w:rPr>
          <w:vertAlign w:val="superscript"/>
        </w:rPr>
        <w:t>o</w:t>
      </w:r>
      <w:r>
        <w:t> </w:t>
      </w:r>
      <w:r w:rsidRPr="00BF76E9">
        <w:t>3976/05, § 70, 2 novembre 2010</w:t>
      </w:r>
      <w:r>
        <w:t> ;</w:t>
      </w:r>
      <w:r w:rsidRPr="00BF76E9">
        <w:t xml:space="preserve"> et </w:t>
      </w:r>
      <w:r w:rsidRPr="00FC4760">
        <w:rPr>
          <w:i/>
        </w:rPr>
        <w:t>Stummer c. Autriche</w:t>
      </w:r>
      <w:r w:rsidRPr="00BF76E9">
        <w:t xml:space="preserve"> [GC], n</w:t>
      </w:r>
      <w:r w:rsidR="00A95CCF" w:rsidRPr="00A95CCF">
        <w:rPr>
          <w:vertAlign w:val="superscript"/>
        </w:rPr>
        <w:t>o</w:t>
      </w:r>
      <w:r>
        <w:t> </w:t>
      </w:r>
      <w:r w:rsidRPr="00BF76E9">
        <w:t>37452/02, § 89, CEDH</w:t>
      </w:r>
      <w:r>
        <w:t>-</w:t>
      </w:r>
      <w:r w:rsidRPr="00BF76E9">
        <w:t>2011). Toutefois, seules des considérations très fortes peuvent amener la Cour à estimer compatible avec la Convention une différence de traitement exclusivement fondée sur la nationalité (</w:t>
      </w:r>
      <w:r w:rsidRPr="00FC4760">
        <w:rPr>
          <w:i/>
        </w:rPr>
        <w:t>Gaygusuz</w:t>
      </w:r>
      <w:r w:rsidRPr="00BF76E9">
        <w:t>, précité, § 42</w:t>
      </w:r>
      <w:r>
        <w:t> ;</w:t>
      </w:r>
      <w:r w:rsidRPr="00BF76E9">
        <w:t xml:space="preserve"> </w:t>
      </w:r>
      <w:r w:rsidRPr="00FC4760">
        <w:rPr>
          <w:i/>
        </w:rPr>
        <w:t>Koua Poirrez c. France</w:t>
      </w:r>
      <w:r w:rsidRPr="00BF76E9">
        <w:t>, n</w:t>
      </w:r>
      <w:r w:rsidR="00A95CCF" w:rsidRPr="00A95CCF">
        <w:rPr>
          <w:vertAlign w:val="superscript"/>
        </w:rPr>
        <w:t>o</w:t>
      </w:r>
      <w:r w:rsidRPr="00BF76E9">
        <w:t xml:space="preserve"> 40892/98, § 46, CEDH 2003-X</w:t>
      </w:r>
      <w:r>
        <w:t> ;</w:t>
      </w:r>
      <w:r w:rsidRPr="00BF76E9">
        <w:t xml:space="preserve"> </w:t>
      </w:r>
      <w:r w:rsidRPr="00FC4760">
        <w:rPr>
          <w:i/>
        </w:rPr>
        <w:t>Andrejeva c. Lettonie</w:t>
      </w:r>
      <w:r w:rsidRPr="00BF76E9">
        <w:t xml:space="preserve"> [GC], n</w:t>
      </w:r>
      <w:r w:rsidR="00A95CCF" w:rsidRPr="00A95CCF">
        <w:rPr>
          <w:vertAlign w:val="superscript"/>
        </w:rPr>
        <w:t>o</w:t>
      </w:r>
      <w:r w:rsidRPr="00BF76E9">
        <w:t xml:space="preserve"> 55707/00, § 87, CEDH</w:t>
      </w:r>
      <w:r w:rsidR="00FC4760">
        <w:t>-</w:t>
      </w:r>
      <w:r w:rsidRPr="00BF76E9">
        <w:t>2009</w:t>
      </w:r>
      <w:r w:rsidR="00FC4760">
        <w:t> ;</w:t>
      </w:r>
      <w:r w:rsidRPr="00BF76E9">
        <w:t xml:space="preserve"> et </w:t>
      </w:r>
      <w:r w:rsidRPr="00FC4760">
        <w:rPr>
          <w:i/>
        </w:rPr>
        <w:t>Ponomaryovi</w:t>
      </w:r>
      <w:r w:rsidRPr="00BF76E9">
        <w:t>, précité, § 52).</w:t>
      </w:r>
    </w:p>
    <w:p w:rsidR="00BF2DCF" w:rsidRDefault="00F44484" w:rsidP="00BF76E9">
      <w:pPr>
        <w:pStyle w:val="ECHRPara"/>
      </w:pPr>
      <w:r>
        <w:fldChar w:fldCharType="begin"/>
      </w:r>
      <w:r>
        <w:instrText xml:space="preserve"> SEQ level0 \*arabic </w:instrText>
      </w:r>
      <w:r>
        <w:fldChar w:fldCharType="separate"/>
      </w:r>
      <w:r>
        <w:rPr>
          <w:noProof/>
        </w:rPr>
        <w:t>47</w:t>
      </w:r>
      <w:r>
        <w:rPr>
          <w:noProof/>
        </w:rPr>
        <w:fldChar w:fldCharType="end"/>
      </w:r>
      <w:r w:rsidR="00BF76E9">
        <w:t>.  La Convention étant avant tout un mécanisme de protection des droits de l</w:t>
      </w:r>
      <w:r w:rsidR="00AE1D81">
        <w:t>’</w:t>
      </w:r>
      <w:r w:rsidR="00BF76E9">
        <w:t>homme, la Cour doit en outre tenir compte de l</w:t>
      </w:r>
      <w:r w:rsidR="00AE1D81">
        <w:t>’</w:t>
      </w:r>
      <w:r w:rsidR="00BF76E9">
        <w:t xml:space="preserve">évolution de la situation dans les </w:t>
      </w:r>
      <w:r w:rsidR="00FC4760">
        <w:t>États</w:t>
      </w:r>
      <w:r w:rsidR="00BF76E9">
        <w:t xml:space="preserve"> contractants et réagir, par exemple, au consensus susceptible de se faire jour quant aux normes à atteindre (</w:t>
      </w:r>
      <w:r w:rsidR="00BF76E9" w:rsidRPr="00FC4760">
        <w:rPr>
          <w:i/>
        </w:rPr>
        <w:t>Konstantin Markin</w:t>
      </w:r>
      <w:r w:rsidR="00D76AAA">
        <w:rPr>
          <w:i/>
        </w:rPr>
        <w:t xml:space="preserve"> </w:t>
      </w:r>
      <w:r w:rsidR="00BF76E9" w:rsidRPr="00FC4760">
        <w:rPr>
          <w:i/>
        </w:rPr>
        <w:t>c. Russie</w:t>
      </w:r>
      <w:r w:rsidR="00BF76E9">
        <w:t xml:space="preserve"> [GC], n</w:t>
      </w:r>
      <w:r w:rsidR="00A95CCF" w:rsidRPr="00A95CCF">
        <w:rPr>
          <w:vertAlign w:val="superscript"/>
        </w:rPr>
        <w:t>o</w:t>
      </w:r>
      <w:r w:rsidR="00BF76E9">
        <w:t xml:space="preserve"> 30078/06, § 126, CEDH 2012, et </w:t>
      </w:r>
      <w:r w:rsidR="00BF76E9" w:rsidRPr="00FC4760">
        <w:rPr>
          <w:i/>
        </w:rPr>
        <w:t>Fabris</w:t>
      </w:r>
      <w:r w:rsidR="00A26256">
        <w:rPr>
          <w:i/>
        </w:rPr>
        <w:t> </w:t>
      </w:r>
      <w:r w:rsidR="00BF76E9" w:rsidRPr="00FC4760">
        <w:rPr>
          <w:i/>
        </w:rPr>
        <w:t>c.</w:t>
      </w:r>
      <w:r w:rsidR="00A26256">
        <w:rPr>
          <w:i/>
        </w:rPr>
        <w:t> </w:t>
      </w:r>
      <w:r w:rsidR="00BF76E9" w:rsidRPr="00FC4760">
        <w:rPr>
          <w:i/>
        </w:rPr>
        <w:t>France</w:t>
      </w:r>
      <w:r w:rsidR="00BF76E9">
        <w:t xml:space="preserve"> [GC], n</w:t>
      </w:r>
      <w:r w:rsidR="00A95CCF" w:rsidRPr="00A95CCF">
        <w:rPr>
          <w:vertAlign w:val="superscript"/>
        </w:rPr>
        <w:t>o</w:t>
      </w:r>
      <w:r w:rsidR="00BF76E9">
        <w:t xml:space="preserve"> 16574/08, § 56, CEDH 2013).</w:t>
      </w:r>
    </w:p>
    <w:p w:rsidR="00BF2DCF" w:rsidRDefault="005F2CB3" w:rsidP="005F2CB3">
      <w:pPr>
        <w:pStyle w:val="ECHRHeading4"/>
        <w:rPr>
          <w:rStyle w:val="sdfc50a6a"/>
        </w:rPr>
      </w:pPr>
      <w:r>
        <w:t>b)</w:t>
      </w:r>
      <w:r w:rsidR="00BF2DCF">
        <w:t>  </w:t>
      </w:r>
      <w:r w:rsidR="00BF2DCF">
        <w:rPr>
          <w:rStyle w:val="sdfc50a6a"/>
        </w:rPr>
        <w:t>Sur le point de savoir s</w:t>
      </w:r>
      <w:r w:rsidR="00AE1D81">
        <w:rPr>
          <w:rStyle w:val="sdfc50a6a"/>
        </w:rPr>
        <w:t>’</w:t>
      </w:r>
      <w:r w:rsidR="00BF2DCF">
        <w:rPr>
          <w:rStyle w:val="sdfc50a6a"/>
        </w:rPr>
        <w:t>il y a eu différence de traitement entre des personnes se trouvant dans des situations similaires</w:t>
      </w:r>
    </w:p>
    <w:p w:rsidR="00A95CCF" w:rsidRDefault="00F44484" w:rsidP="00177D96">
      <w:pPr>
        <w:pStyle w:val="ECHRPara"/>
      </w:pPr>
      <w:r>
        <w:fldChar w:fldCharType="begin"/>
      </w:r>
      <w:r>
        <w:instrText xml:space="preserve"> SEQ level0 \*arabic </w:instrText>
      </w:r>
      <w:r>
        <w:fldChar w:fldCharType="separate"/>
      </w:r>
      <w:r>
        <w:rPr>
          <w:noProof/>
        </w:rPr>
        <w:t>48</w:t>
      </w:r>
      <w:r>
        <w:rPr>
          <w:noProof/>
        </w:rPr>
        <w:fldChar w:fldCharType="end"/>
      </w:r>
      <w:r w:rsidR="00BF2DCF">
        <w:t>.  </w:t>
      </w:r>
      <w:r w:rsidR="006419FC">
        <w:t>Aux yeux de la Cour, il ne fait pas de doute que le requérant a été traité de manière différente par rapport aux travailleurs ressortissants de l</w:t>
      </w:r>
      <w:r w:rsidR="00AE1D81">
        <w:t>’</w:t>
      </w:r>
      <w:r w:rsidR="006419FC">
        <w:t>Union européenne qui, comme lui, avaient une famille nombreuse. En effet, à la différence de ces derniers, le requérant n</w:t>
      </w:r>
      <w:r w:rsidR="00AE1D81">
        <w:t>’</w:t>
      </w:r>
      <w:r w:rsidR="006419FC">
        <w:t>avait pas droit à l</w:t>
      </w:r>
      <w:r w:rsidR="00AE1D81">
        <w:t>’</w:t>
      </w:r>
      <w:r w:rsidR="006419FC">
        <w:t>allocation familiale prévue par l</w:t>
      </w:r>
      <w:r w:rsidR="00AE1D81">
        <w:t>’</w:t>
      </w:r>
      <w:r w:rsidR="006419FC">
        <w:t>article 65 de la loi n</w:t>
      </w:r>
      <w:r w:rsidR="00143C2E" w:rsidRPr="00143C2E">
        <w:rPr>
          <w:vertAlign w:val="superscript"/>
        </w:rPr>
        <w:t>o</w:t>
      </w:r>
      <w:r w:rsidR="00143C2E">
        <w:t> </w:t>
      </w:r>
      <w:r w:rsidR="006419FC">
        <w:t xml:space="preserve">448 de 1998. Le Gouvernement ne le conteste </w:t>
      </w:r>
      <w:r w:rsidR="00842B6E">
        <w:t>d</w:t>
      </w:r>
      <w:r w:rsidR="00AE1D81">
        <w:t>’</w:t>
      </w:r>
      <w:r w:rsidR="006419FC">
        <w:t>ailleurs pas.</w:t>
      </w:r>
    </w:p>
    <w:p w:rsidR="00177D96" w:rsidRDefault="00F44484" w:rsidP="00177D96">
      <w:pPr>
        <w:pStyle w:val="ECHRPara"/>
      </w:pPr>
      <w:r>
        <w:fldChar w:fldCharType="begin"/>
      </w:r>
      <w:r>
        <w:instrText xml:space="preserve"> SEQ level0 \*arabic </w:instrText>
      </w:r>
      <w:r>
        <w:fldChar w:fldCharType="separate"/>
      </w:r>
      <w:r>
        <w:rPr>
          <w:noProof/>
        </w:rPr>
        <w:t>49</w:t>
      </w:r>
      <w:r>
        <w:rPr>
          <w:noProof/>
        </w:rPr>
        <w:fldChar w:fldCharType="end"/>
      </w:r>
      <w:r w:rsidR="006419FC">
        <w:t xml:space="preserve">.  La Cour observe de surcroît que </w:t>
      </w:r>
      <w:r w:rsidR="005F2CB3">
        <w:t xml:space="preserve">le refus </w:t>
      </w:r>
      <w:r w:rsidR="009C7F32">
        <w:t>d</w:t>
      </w:r>
      <w:r w:rsidR="00AE1D81">
        <w:t>’</w:t>
      </w:r>
      <w:r w:rsidR="009C7F32">
        <w:t xml:space="preserve">accorder au requérant le bénéfice de cette </w:t>
      </w:r>
      <w:r w:rsidR="005F2CB3">
        <w:t>allocation a</w:t>
      </w:r>
      <w:r w:rsidR="009C7F32">
        <w:t>vait</w:t>
      </w:r>
      <w:r w:rsidR="005F2CB3">
        <w:t xml:space="preserve"> </w:t>
      </w:r>
      <w:r w:rsidR="009C7F32">
        <w:t>pour</w:t>
      </w:r>
      <w:r w:rsidR="005F2CB3">
        <w:t xml:space="preserve"> </w:t>
      </w:r>
      <w:r w:rsidR="009C7F32">
        <w:t>fondement</w:t>
      </w:r>
      <w:r w:rsidR="005F2CB3">
        <w:t xml:space="preserve"> </w:t>
      </w:r>
      <w:r w:rsidR="006419FC">
        <w:t>exclusi</w:t>
      </w:r>
      <w:r w:rsidR="009C7F32">
        <w:t>f</w:t>
      </w:r>
      <w:r w:rsidR="006419FC">
        <w:t xml:space="preserve"> </w:t>
      </w:r>
      <w:r w:rsidR="005F2CB3">
        <w:t xml:space="preserve">la nationalité </w:t>
      </w:r>
      <w:r w:rsidR="009C7F32">
        <w:t>de l</w:t>
      </w:r>
      <w:r w:rsidR="00AE1D81">
        <w:t>’</w:t>
      </w:r>
      <w:r w:rsidR="009C7F32">
        <w:t>intéressé</w:t>
      </w:r>
      <w:r w:rsidR="005F2CB3">
        <w:t>, qui à l</w:t>
      </w:r>
      <w:r w:rsidR="00AE1D81">
        <w:t>’</w:t>
      </w:r>
      <w:r w:rsidR="005F2CB3">
        <w:t>époque n</w:t>
      </w:r>
      <w:r w:rsidR="00AE1D81">
        <w:t>’</w:t>
      </w:r>
      <w:r w:rsidR="005F2CB3">
        <w:t>était pas ressortissant d</w:t>
      </w:r>
      <w:r w:rsidR="00AE1D81">
        <w:t>’</w:t>
      </w:r>
      <w:r w:rsidR="005F2CB3">
        <w:t>un État membre de l</w:t>
      </w:r>
      <w:r w:rsidR="00AE1D81">
        <w:t>’</w:t>
      </w:r>
      <w:r w:rsidR="005F2CB3">
        <w:t>Union européenne</w:t>
      </w:r>
      <w:r w:rsidR="007C53BC">
        <w:t xml:space="preserve">. </w:t>
      </w:r>
      <w:r w:rsidR="00981977">
        <w:t>En effet, i</w:t>
      </w:r>
      <w:r w:rsidR="007C53BC">
        <w:rPr>
          <w:rStyle w:val="sb8d990e2"/>
        </w:rPr>
        <w:t>l n</w:t>
      </w:r>
      <w:r w:rsidR="00AE1D81">
        <w:rPr>
          <w:rStyle w:val="sb8d990e2"/>
        </w:rPr>
        <w:t>’</w:t>
      </w:r>
      <w:r w:rsidR="007C53BC">
        <w:rPr>
          <w:rStyle w:val="sb8d990e2"/>
        </w:rPr>
        <w:t>a pas été allégué que le requérant ne remplissait pas les autres conditions légales pour l</w:t>
      </w:r>
      <w:r w:rsidR="00AE1D81">
        <w:rPr>
          <w:rStyle w:val="sb8d990e2"/>
        </w:rPr>
        <w:t>’</w:t>
      </w:r>
      <w:r w:rsidR="007C53BC">
        <w:rPr>
          <w:rStyle w:val="sb8d990e2"/>
        </w:rPr>
        <w:t>attribution de la prestation sociale en question</w:t>
      </w:r>
      <w:r w:rsidR="005F2CB3">
        <w:t xml:space="preserve">. </w:t>
      </w:r>
      <w:r w:rsidR="005F2CB3">
        <w:rPr>
          <w:rStyle w:val="sb8d990e2"/>
        </w:rPr>
        <w:t>À l</w:t>
      </w:r>
      <w:r w:rsidR="00AE1D81">
        <w:rPr>
          <w:rStyle w:val="sb8d990e2"/>
        </w:rPr>
        <w:t>’</w:t>
      </w:r>
      <w:r w:rsidR="005F2CB3">
        <w:rPr>
          <w:rStyle w:val="sb8d990e2"/>
        </w:rPr>
        <w:t>évidence, il a donc, en raison d</w:t>
      </w:r>
      <w:r w:rsidR="00AE1D81">
        <w:rPr>
          <w:rStyle w:val="sb8d990e2"/>
        </w:rPr>
        <w:t>’</w:t>
      </w:r>
      <w:r w:rsidR="005F2CB3">
        <w:rPr>
          <w:rStyle w:val="sb8d990e2"/>
        </w:rPr>
        <w:t>une caractéristique personnelle, été moins bien traité que d</w:t>
      </w:r>
      <w:r w:rsidR="00AE1D81">
        <w:rPr>
          <w:rStyle w:val="sb8d990e2"/>
        </w:rPr>
        <w:t>’</w:t>
      </w:r>
      <w:r w:rsidR="005F2CB3">
        <w:rPr>
          <w:rStyle w:val="sb8d990e2"/>
        </w:rPr>
        <w:t xml:space="preserve">autres individus se trouvant dans une situation analogue </w:t>
      </w:r>
      <w:r w:rsidR="005F2CB3">
        <w:t xml:space="preserve">(voir, </w:t>
      </w:r>
      <w:r w:rsidR="005F2CB3">
        <w:rPr>
          <w:i/>
        </w:rPr>
        <w:t>mutatis mutandis</w:t>
      </w:r>
      <w:r w:rsidR="005F2CB3">
        <w:t xml:space="preserve">, </w:t>
      </w:r>
      <w:r w:rsidR="005F2CB3" w:rsidRPr="00177D96">
        <w:rPr>
          <w:i/>
        </w:rPr>
        <w:t>Ponomaryovi</w:t>
      </w:r>
      <w:r w:rsidR="005F2CB3">
        <w:t>, précité, § 50).</w:t>
      </w:r>
    </w:p>
    <w:p w:rsidR="00BF2DCF" w:rsidRDefault="005F2CB3" w:rsidP="005F2CB3">
      <w:pPr>
        <w:pStyle w:val="ECHRHeading4"/>
        <w:rPr>
          <w:rStyle w:val="sdfc50a6a"/>
        </w:rPr>
      </w:pPr>
      <w:r>
        <w:t>c)</w:t>
      </w:r>
      <w:r w:rsidR="00182A9F">
        <w:t>  </w:t>
      </w:r>
      <w:r w:rsidR="00182A9F">
        <w:rPr>
          <w:rStyle w:val="sdfc50a6a"/>
        </w:rPr>
        <w:t>Sur le point de savoir s</w:t>
      </w:r>
      <w:r w:rsidR="00AE1D81">
        <w:rPr>
          <w:rStyle w:val="sdfc50a6a"/>
        </w:rPr>
        <w:t>’</w:t>
      </w:r>
      <w:r w:rsidR="00182A9F">
        <w:rPr>
          <w:rStyle w:val="sdfc50a6a"/>
        </w:rPr>
        <w:t>il existait une justification objective et raisonnable</w:t>
      </w:r>
    </w:p>
    <w:p w:rsidR="00D142FB" w:rsidRPr="003C2518" w:rsidRDefault="00F44484" w:rsidP="00D142FB">
      <w:pPr>
        <w:pStyle w:val="ECHRPara"/>
      </w:pPr>
      <w:r>
        <w:fldChar w:fldCharType="begin"/>
      </w:r>
      <w:r>
        <w:instrText xml:space="preserve"> SEQ level0 \*arabic </w:instrText>
      </w:r>
      <w:r>
        <w:fldChar w:fldCharType="separate"/>
      </w:r>
      <w:r>
        <w:rPr>
          <w:noProof/>
        </w:rPr>
        <w:t>50</w:t>
      </w:r>
      <w:r>
        <w:rPr>
          <w:noProof/>
        </w:rPr>
        <w:fldChar w:fldCharType="end"/>
      </w:r>
      <w:r w:rsidR="00FC4760">
        <w:t>.  </w:t>
      </w:r>
      <w:r w:rsidR="00D142FB" w:rsidRPr="003C2518">
        <w:rPr>
          <w:rStyle w:val="sb8d990e2"/>
        </w:rPr>
        <w:t xml:space="preserve">La Cour relève que dans </w:t>
      </w:r>
      <w:r w:rsidR="00981977">
        <w:rPr>
          <w:rStyle w:val="sb8d990e2"/>
        </w:rPr>
        <w:t>plusieurs</w:t>
      </w:r>
      <w:r w:rsidR="00981977" w:rsidRPr="003C2518">
        <w:rPr>
          <w:rStyle w:val="sb8d990e2"/>
        </w:rPr>
        <w:t xml:space="preserve"> </w:t>
      </w:r>
      <w:r w:rsidR="00D142FB" w:rsidRPr="003C2518">
        <w:rPr>
          <w:rStyle w:val="sb8d990e2"/>
        </w:rPr>
        <w:t>affaires</w:t>
      </w:r>
      <w:r w:rsidR="00D142FB">
        <w:rPr>
          <w:rStyle w:val="sb8d990e2"/>
        </w:rPr>
        <w:t xml:space="preserve"> précitées</w:t>
      </w:r>
      <w:r w:rsidR="00D142FB" w:rsidRPr="003C2518">
        <w:rPr>
          <w:rStyle w:val="sb8d990e2"/>
        </w:rPr>
        <w:t xml:space="preserve"> similaires à la présente</w:t>
      </w:r>
      <w:r w:rsidR="00D142FB">
        <w:rPr>
          <w:rStyle w:val="sb8d990e2"/>
        </w:rPr>
        <w:t xml:space="preserve"> (</w:t>
      </w:r>
      <w:r w:rsidR="00D142FB">
        <w:rPr>
          <w:i/>
        </w:rPr>
        <w:t>Niedzwiecki</w:t>
      </w:r>
      <w:r w:rsidR="00D142FB">
        <w:t xml:space="preserve"> ; </w:t>
      </w:r>
      <w:r w:rsidR="00D142FB">
        <w:rPr>
          <w:i/>
        </w:rPr>
        <w:t>Okpisz</w:t>
      </w:r>
      <w:r w:rsidR="00D142FB">
        <w:t xml:space="preserve"> ; </w:t>
      </w:r>
      <w:r w:rsidR="00D142FB">
        <w:rPr>
          <w:i/>
        </w:rPr>
        <w:t>Weller</w:t>
      </w:r>
      <w:r w:rsidR="00D142FB" w:rsidRPr="00E27AA1">
        <w:t> ;</w:t>
      </w:r>
      <w:r w:rsidR="00D142FB">
        <w:rPr>
          <w:i/>
        </w:rPr>
        <w:t xml:space="preserve"> Fawsie</w:t>
      </w:r>
      <w:r w:rsidR="00D142FB">
        <w:rPr>
          <w:rStyle w:val="textcolumn"/>
        </w:rPr>
        <w:t> ; et</w:t>
      </w:r>
      <w:r w:rsidR="00D142FB">
        <w:t xml:space="preserve"> </w:t>
      </w:r>
      <w:r w:rsidR="00D142FB">
        <w:rPr>
          <w:i/>
        </w:rPr>
        <w:t>Saidoun</w:t>
      </w:r>
      <w:r w:rsidR="002A33CB">
        <w:rPr>
          <w:rStyle w:val="sb8d990e2"/>
        </w:rPr>
        <w:t>)</w:t>
      </w:r>
      <w:r w:rsidR="00981977">
        <w:rPr>
          <w:rStyle w:val="sb8d990e2"/>
        </w:rPr>
        <w:t xml:space="preserve"> et</w:t>
      </w:r>
      <w:r w:rsidR="002A33CB">
        <w:rPr>
          <w:rStyle w:val="sb8d990e2"/>
        </w:rPr>
        <w:t xml:space="preserve"> qui concernaient également l</w:t>
      </w:r>
      <w:r w:rsidR="00AE1D81">
        <w:rPr>
          <w:rStyle w:val="sb8d990e2"/>
        </w:rPr>
        <w:t>’</w:t>
      </w:r>
      <w:r w:rsidR="00D142FB" w:rsidRPr="003C2518">
        <w:rPr>
          <w:rStyle w:val="sb8d990e2"/>
        </w:rPr>
        <w:t>octroi de presta</w:t>
      </w:r>
      <w:r w:rsidR="002A33CB">
        <w:rPr>
          <w:rStyle w:val="sb8d990e2"/>
        </w:rPr>
        <w:t>tions sociales à des familles d</w:t>
      </w:r>
      <w:r w:rsidR="00AE1D81">
        <w:rPr>
          <w:rStyle w:val="sb8d990e2"/>
        </w:rPr>
        <w:t>’</w:t>
      </w:r>
      <w:r w:rsidR="00D142FB" w:rsidRPr="003C2518">
        <w:rPr>
          <w:rStyle w:val="sb8d990e2"/>
        </w:rPr>
        <w:t>étrangers, la Cou</w:t>
      </w:r>
      <w:r w:rsidR="002A33CB">
        <w:rPr>
          <w:rStyle w:val="sb8d990e2"/>
        </w:rPr>
        <w:t>r a conclu à une violation de l</w:t>
      </w:r>
      <w:r w:rsidR="00AE1D81">
        <w:rPr>
          <w:rStyle w:val="sb8d990e2"/>
        </w:rPr>
        <w:t>’</w:t>
      </w:r>
      <w:r w:rsidR="002A33CB">
        <w:rPr>
          <w:rStyle w:val="sb8d990e2"/>
        </w:rPr>
        <w:t xml:space="preserve">article </w:t>
      </w:r>
      <w:r w:rsidR="00FC4760">
        <w:rPr>
          <w:rStyle w:val="sb8d990e2"/>
        </w:rPr>
        <w:t>14</w:t>
      </w:r>
      <w:r w:rsidR="002A33CB">
        <w:rPr>
          <w:rStyle w:val="sb8d990e2"/>
        </w:rPr>
        <w:t xml:space="preserve"> combiné avec l</w:t>
      </w:r>
      <w:r w:rsidR="00AE1D81">
        <w:rPr>
          <w:rStyle w:val="sb8d990e2"/>
        </w:rPr>
        <w:t>’</w:t>
      </w:r>
      <w:r w:rsidR="00D142FB" w:rsidRPr="003C2518">
        <w:rPr>
          <w:rStyle w:val="sb8d990e2"/>
        </w:rPr>
        <w:t xml:space="preserve">article </w:t>
      </w:r>
      <w:r w:rsidR="00FC4760">
        <w:rPr>
          <w:rStyle w:val="sb8d990e2"/>
        </w:rPr>
        <w:t>8</w:t>
      </w:r>
      <w:r w:rsidR="002A33CB">
        <w:rPr>
          <w:rStyle w:val="sb8d990e2"/>
        </w:rPr>
        <w:t>, du fait que les autorités n</w:t>
      </w:r>
      <w:r w:rsidR="00AE1D81">
        <w:rPr>
          <w:rStyle w:val="sb8d990e2"/>
        </w:rPr>
        <w:t>’</w:t>
      </w:r>
      <w:r w:rsidR="00D142FB" w:rsidRPr="003C2518">
        <w:rPr>
          <w:rStyle w:val="sb8d990e2"/>
        </w:rPr>
        <w:t xml:space="preserve">avaient pas donné de justification raisonnable à la pratique consistant à exclure de certaines allocations les étrangers légalement installés sur le territoire de ces </w:t>
      </w:r>
      <w:r w:rsidR="002A33CB" w:rsidRPr="003C2518">
        <w:rPr>
          <w:rStyle w:val="sb8d990e2"/>
        </w:rPr>
        <w:t>États</w:t>
      </w:r>
      <w:r w:rsidR="00D142FB" w:rsidRPr="003C2518">
        <w:rPr>
          <w:rStyle w:val="sb8d990e2"/>
        </w:rPr>
        <w:t>, sur la seule base de leur nationalité.</w:t>
      </w:r>
    </w:p>
    <w:p w:rsidR="007C53BC" w:rsidRDefault="00F44484" w:rsidP="00177D96">
      <w:pPr>
        <w:pStyle w:val="ECHRPara"/>
      </w:pPr>
      <w:r>
        <w:fldChar w:fldCharType="begin"/>
      </w:r>
      <w:r>
        <w:instrText xml:space="preserve"> SEQ level0 \*arabic </w:instrText>
      </w:r>
      <w:r>
        <w:fldChar w:fldCharType="separate"/>
      </w:r>
      <w:r>
        <w:rPr>
          <w:noProof/>
        </w:rPr>
        <w:t>51</w:t>
      </w:r>
      <w:r>
        <w:rPr>
          <w:noProof/>
        </w:rPr>
        <w:fldChar w:fldCharType="end"/>
      </w:r>
      <w:r w:rsidR="00D142FB">
        <w:t xml:space="preserve">.  Notamment, dans les affaires </w:t>
      </w:r>
      <w:r w:rsidR="00D142FB">
        <w:rPr>
          <w:i/>
        </w:rPr>
        <w:t>Fawsie</w:t>
      </w:r>
      <w:r w:rsidR="00D142FB">
        <w:rPr>
          <w:rStyle w:val="textcolumn"/>
        </w:rPr>
        <w:t xml:space="preserve"> et</w:t>
      </w:r>
      <w:r w:rsidR="00D142FB">
        <w:t xml:space="preserve"> </w:t>
      </w:r>
      <w:r w:rsidR="00D142FB">
        <w:rPr>
          <w:i/>
        </w:rPr>
        <w:t xml:space="preserve">Saidoun </w:t>
      </w:r>
      <w:r w:rsidR="00D142FB">
        <w:t>précitées, qui</w:t>
      </w:r>
      <w:r w:rsidR="007C53BC">
        <w:t>, à l</w:t>
      </w:r>
      <w:r w:rsidR="00AE1D81">
        <w:t>’</w:t>
      </w:r>
      <w:r w:rsidR="007C53BC">
        <w:t>instar de</w:t>
      </w:r>
      <w:r w:rsidR="00D142FB">
        <w:t xml:space="preserve"> la présente, </w:t>
      </w:r>
      <w:r w:rsidR="007C53BC">
        <w:t xml:space="preserve">concernaient </w:t>
      </w:r>
      <w:r w:rsidR="00D142FB">
        <w:t>l</w:t>
      </w:r>
      <w:r w:rsidR="00AE1D81">
        <w:t>’</w:t>
      </w:r>
      <w:r w:rsidR="00D142FB">
        <w:t>allocation pour famille nombreuse, son constat de violation se fondait, en particulier, sur le fait que les requérantes et les membres de leurs familles s</w:t>
      </w:r>
      <w:r w:rsidR="00AE1D81">
        <w:t>’</w:t>
      </w:r>
      <w:r w:rsidR="00D142FB">
        <w:t>étaient vu reconnaître le statut de réfugié politique et que le critère choisi par le Gouvernement (</w:t>
      </w:r>
      <w:r w:rsidR="007243BD">
        <w:t>qui s</w:t>
      </w:r>
      <w:r w:rsidR="00AE1D81">
        <w:t>’</w:t>
      </w:r>
      <w:r w:rsidR="007243BD">
        <w:t>était en l</w:t>
      </w:r>
      <w:r w:rsidR="00AE1D81">
        <w:t>’</w:t>
      </w:r>
      <w:r w:rsidR="007243BD">
        <w:t xml:space="preserve">occurrence </w:t>
      </w:r>
      <w:r w:rsidR="00D142FB">
        <w:t xml:space="preserve">essentiellement </w:t>
      </w:r>
      <w:r w:rsidR="007243BD">
        <w:t xml:space="preserve">attaché à </w:t>
      </w:r>
      <w:r w:rsidR="00D142FB">
        <w:t>la nationalité o</w:t>
      </w:r>
      <w:r w:rsidR="007243BD">
        <w:t>u</w:t>
      </w:r>
      <w:r w:rsidR="00D142FB">
        <w:t xml:space="preserve"> </w:t>
      </w:r>
      <w:r w:rsidR="007243BD">
        <w:t xml:space="preserve">à </w:t>
      </w:r>
      <w:r w:rsidR="00D142FB">
        <w:t>l</w:t>
      </w:r>
      <w:r w:rsidR="00AE1D81">
        <w:t>’</w:t>
      </w:r>
      <w:r w:rsidR="00D142FB">
        <w:t>origine grecque</w:t>
      </w:r>
      <w:r w:rsidR="007243BD">
        <w:t xml:space="preserve"> des intéressés</w:t>
      </w:r>
      <w:r w:rsidR="00D142FB">
        <w:t xml:space="preserve">) </w:t>
      </w:r>
      <w:r w:rsidR="007C53BC">
        <w:t>pour déterminer les bénéficiaires de l</w:t>
      </w:r>
      <w:r w:rsidR="00AE1D81">
        <w:t>’</w:t>
      </w:r>
      <w:r w:rsidR="007C53BC">
        <w:t xml:space="preserve">allocation </w:t>
      </w:r>
      <w:r w:rsidR="00D142FB">
        <w:t xml:space="preserve">ne semblait pas pertinent </w:t>
      </w:r>
      <w:r w:rsidR="007C53BC">
        <w:t xml:space="preserve">à la lumière du but légitime poursuivi (à savoir, faire face au problème démographique du </w:t>
      </w:r>
      <w:r w:rsidR="007243BD">
        <w:t>p</w:t>
      </w:r>
      <w:r w:rsidR="007C53BC">
        <w:t>ays).</w:t>
      </w:r>
    </w:p>
    <w:p w:rsidR="007C53BC" w:rsidRPr="00215272" w:rsidRDefault="00F44484" w:rsidP="00177D96">
      <w:pPr>
        <w:pStyle w:val="ECHRPara"/>
        <w:rPr>
          <w:rStyle w:val="sb8d990e2"/>
        </w:rPr>
      </w:pPr>
      <w:r>
        <w:fldChar w:fldCharType="begin"/>
      </w:r>
      <w:r>
        <w:instrText xml:space="preserve"> SEQ level0 \*arabic </w:instrText>
      </w:r>
      <w:r>
        <w:fldChar w:fldCharType="separate"/>
      </w:r>
      <w:r>
        <w:rPr>
          <w:noProof/>
        </w:rPr>
        <w:t>52</w:t>
      </w:r>
      <w:r>
        <w:rPr>
          <w:noProof/>
        </w:rPr>
        <w:fldChar w:fldCharType="end"/>
      </w:r>
      <w:r w:rsidR="007C53BC">
        <w:t xml:space="preserve">.  La Cour considère que </w:t>
      </w:r>
      <w:r w:rsidR="002A33CB">
        <w:t>d</w:t>
      </w:r>
      <w:r w:rsidR="007C53BC">
        <w:t>es considérations</w:t>
      </w:r>
      <w:r w:rsidR="002A33CB">
        <w:t xml:space="preserve"> analogues</w:t>
      </w:r>
      <w:r w:rsidR="007C53BC">
        <w:t xml:space="preserve"> s</w:t>
      </w:r>
      <w:r w:rsidR="00AE1D81">
        <w:t>’</w:t>
      </w:r>
      <w:r w:rsidR="007C53BC">
        <w:t xml:space="preserve">appliquent, </w:t>
      </w:r>
      <w:r w:rsidR="007C53BC">
        <w:rPr>
          <w:i/>
        </w:rPr>
        <w:t>mutatis mutandis</w:t>
      </w:r>
      <w:r w:rsidR="007C53BC">
        <w:t>, en l</w:t>
      </w:r>
      <w:r w:rsidR="00AE1D81">
        <w:t>’</w:t>
      </w:r>
      <w:r w:rsidR="007C53BC">
        <w:t>espèce. Elle note à cet égard qu</w:t>
      </w:r>
      <w:r w:rsidR="00AE1D81">
        <w:t>’</w:t>
      </w:r>
      <w:r w:rsidR="007C53BC">
        <w:t>à l</w:t>
      </w:r>
      <w:r w:rsidR="00AE1D81">
        <w:t>’</w:t>
      </w:r>
      <w:r w:rsidR="007C53BC">
        <w:t>époque des faits le requérant était titulaire d</w:t>
      </w:r>
      <w:r w:rsidR="00AE1D81">
        <w:t>’</w:t>
      </w:r>
      <w:r w:rsidR="007C53BC">
        <w:t>un permis de séjour et de travail régulier en Italie, et qu</w:t>
      </w:r>
      <w:r w:rsidR="00AE1D81">
        <w:t>’</w:t>
      </w:r>
      <w:r w:rsidR="007C53BC">
        <w:t>il était assuré auprès de l</w:t>
      </w:r>
      <w:r w:rsidR="00AE1D81">
        <w:t>’</w:t>
      </w:r>
      <w:r w:rsidR="007C53BC">
        <w:t xml:space="preserve">INPS (paragraphe </w:t>
      </w:r>
      <w:r w:rsidR="00354002">
        <w:rPr>
          <w:noProof/>
        </w:rPr>
        <w:t>6</w:t>
      </w:r>
      <w:r w:rsidR="007C53BC">
        <w:t xml:space="preserve"> ci-dessus). </w:t>
      </w:r>
      <w:r w:rsidR="00DE758E">
        <w:rPr>
          <w:rStyle w:val="sb8d990e2"/>
        </w:rPr>
        <w:t>Il payait des contributions à cet organe d</w:t>
      </w:r>
      <w:r w:rsidR="00AE1D81">
        <w:rPr>
          <w:rStyle w:val="sb8d990e2"/>
        </w:rPr>
        <w:t>’</w:t>
      </w:r>
      <w:r w:rsidR="00DE758E">
        <w:rPr>
          <w:rStyle w:val="sb8d990e2"/>
        </w:rPr>
        <w:t>assurance au même titre et sur la même base que les travailleurs ressortissants de l</w:t>
      </w:r>
      <w:r w:rsidR="00AE1D81">
        <w:rPr>
          <w:rStyle w:val="sb8d990e2"/>
        </w:rPr>
        <w:t>’</w:t>
      </w:r>
      <w:r w:rsidR="00DE758E">
        <w:rPr>
          <w:rStyle w:val="sb8d990e2"/>
        </w:rPr>
        <w:t xml:space="preserve">Union européenne (voir, </w:t>
      </w:r>
      <w:r w:rsidR="00DE758E">
        <w:rPr>
          <w:rStyle w:val="sb8d990e2"/>
          <w:i/>
        </w:rPr>
        <w:t>mutatis mutandis</w:t>
      </w:r>
      <w:r w:rsidR="00DE758E">
        <w:rPr>
          <w:rStyle w:val="sb8d990e2"/>
        </w:rPr>
        <w:t xml:space="preserve">, </w:t>
      </w:r>
      <w:r w:rsidR="00DE758E" w:rsidRPr="00D142FB">
        <w:rPr>
          <w:rStyle w:val="s6b621b36"/>
          <w:i/>
        </w:rPr>
        <w:t>Gaygusuz</w:t>
      </w:r>
      <w:r w:rsidR="00DE758E" w:rsidRPr="003C2518">
        <w:rPr>
          <w:rStyle w:val="sb8d990e2"/>
        </w:rPr>
        <w:t>,</w:t>
      </w:r>
      <w:r w:rsidR="00DE758E">
        <w:rPr>
          <w:rStyle w:val="sb8d990e2"/>
        </w:rPr>
        <w:t xml:space="preserve"> précité,</w:t>
      </w:r>
      <w:r w:rsidR="00DE758E" w:rsidRPr="003C2518">
        <w:rPr>
          <w:rStyle w:val="sb8d990e2"/>
        </w:rPr>
        <w:t xml:space="preserve"> § </w:t>
      </w:r>
      <w:r w:rsidR="00DE758E">
        <w:rPr>
          <w:rStyle w:val="sb8d990e2"/>
        </w:rPr>
        <w:t>4</w:t>
      </w:r>
      <w:r w:rsidR="00DE758E" w:rsidRPr="003C2518">
        <w:rPr>
          <w:rStyle w:val="sb8d990e2"/>
        </w:rPr>
        <w:t>6</w:t>
      </w:r>
      <w:r w:rsidR="00DE758E">
        <w:rPr>
          <w:rStyle w:val="sb8d990e2"/>
        </w:rPr>
        <w:t>).</w:t>
      </w:r>
      <w:r w:rsidR="00A25761">
        <w:rPr>
          <w:rStyle w:val="sb8d990e2"/>
        </w:rPr>
        <w:t xml:space="preserve"> L</w:t>
      </w:r>
      <w:r w:rsidR="00AE1D81">
        <w:rPr>
          <w:rStyle w:val="sb8d990e2"/>
        </w:rPr>
        <w:t>’</w:t>
      </w:r>
      <w:r w:rsidR="00A25761">
        <w:rPr>
          <w:rStyle w:val="sb8d990e2"/>
        </w:rPr>
        <w:t>intéressé n</w:t>
      </w:r>
      <w:r w:rsidR="00AE1D81">
        <w:rPr>
          <w:rStyle w:val="sb8d990e2"/>
        </w:rPr>
        <w:t>’</w:t>
      </w:r>
      <w:r w:rsidR="00A25761">
        <w:rPr>
          <w:rStyle w:val="sb8d990e2"/>
        </w:rPr>
        <w:t xml:space="preserve">était pas un </w:t>
      </w:r>
      <w:r w:rsidR="00A25761" w:rsidRPr="00A25761">
        <w:rPr>
          <w:rStyle w:val="sb8d990e2"/>
        </w:rPr>
        <w:t xml:space="preserve">étranger séjournant sur le territoire </w:t>
      </w:r>
      <w:r w:rsidR="007243BD">
        <w:rPr>
          <w:rStyle w:val="sb8d990e2"/>
        </w:rPr>
        <w:t>pour</w:t>
      </w:r>
      <w:r w:rsidR="007243BD" w:rsidRPr="00A25761">
        <w:rPr>
          <w:rStyle w:val="sb8d990e2"/>
        </w:rPr>
        <w:t xml:space="preserve"> </w:t>
      </w:r>
      <w:r w:rsidR="007243BD">
        <w:rPr>
          <w:rStyle w:val="sb8d990e2"/>
        </w:rPr>
        <w:t xml:space="preserve">une </w:t>
      </w:r>
      <w:r w:rsidR="00A25761" w:rsidRPr="00A25761">
        <w:rPr>
          <w:rStyle w:val="sb8d990e2"/>
        </w:rPr>
        <w:t>court</w:t>
      </w:r>
      <w:r w:rsidR="007243BD">
        <w:rPr>
          <w:rStyle w:val="sb8d990e2"/>
        </w:rPr>
        <w:t>e</w:t>
      </w:r>
      <w:r w:rsidR="00A25761" w:rsidRPr="00A25761">
        <w:rPr>
          <w:rStyle w:val="sb8d990e2"/>
        </w:rPr>
        <w:t xml:space="preserve"> </w:t>
      </w:r>
      <w:r w:rsidR="007243BD">
        <w:rPr>
          <w:rStyle w:val="sb8d990e2"/>
        </w:rPr>
        <w:t>durée</w:t>
      </w:r>
      <w:r w:rsidR="007243BD" w:rsidRPr="00A25761">
        <w:rPr>
          <w:rStyle w:val="sb8d990e2"/>
        </w:rPr>
        <w:t xml:space="preserve"> </w:t>
      </w:r>
      <w:r w:rsidR="00A25761" w:rsidRPr="00A25761">
        <w:rPr>
          <w:rStyle w:val="sb8d990e2"/>
        </w:rPr>
        <w:t>ou en violation de la législation sur l</w:t>
      </w:r>
      <w:r w:rsidR="00AE1D81">
        <w:rPr>
          <w:rStyle w:val="sb8d990e2"/>
        </w:rPr>
        <w:t>’</w:t>
      </w:r>
      <w:r w:rsidR="00A25761" w:rsidRPr="00A25761">
        <w:rPr>
          <w:rStyle w:val="sb8d990e2"/>
        </w:rPr>
        <w:t>immigration. Il n</w:t>
      </w:r>
      <w:r w:rsidR="00AE1D81">
        <w:rPr>
          <w:rStyle w:val="sb8d990e2"/>
        </w:rPr>
        <w:t>’</w:t>
      </w:r>
      <w:r w:rsidR="00A25761" w:rsidRPr="00A25761">
        <w:rPr>
          <w:rStyle w:val="sb8d990e2"/>
        </w:rPr>
        <w:t>appartenait donc pas à la catégorie de</w:t>
      </w:r>
      <w:r w:rsidR="007243BD">
        <w:rPr>
          <w:rStyle w:val="sb8d990e2"/>
        </w:rPr>
        <w:t>s</w:t>
      </w:r>
      <w:r w:rsidR="00A25761" w:rsidRPr="00A25761">
        <w:rPr>
          <w:rStyle w:val="sb8d990e2"/>
        </w:rPr>
        <w:t xml:space="preserve"> personnes qui, en règle générale, ne contribue</w:t>
      </w:r>
      <w:r w:rsidR="007243BD">
        <w:rPr>
          <w:rStyle w:val="sb8d990e2"/>
        </w:rPr>
        <w:t>nt</w:t>
      </w:r>
      <w:r w:rsidR="00A25761" w:rsidRPr="00A25761">
        <w:rPr>
          <w:rStyle w:val="sb8d990e2"/>
        </w:rPr>
        <w:t xml:space="preserve"> pas au financement des services publics et pour l</w:t>
      </w:r>
      <w:r w:rsidR="007243BD">
        <w:rPr>
          <w:rStyle w:val="sb8d990e2"/>
        </w:rPr>
        <w:t>es</w:t>
      </w:r>
      <w:r w:rsidR="00A25761" w:rsidRPr="00A25761">
        <w:rPr>
          <w:rStyle w:val="sb8d990e2"/>
        </w:rPr>
        <w:t>quelle</w:t>
      </w:r>
      <w:r w:rsidR="007243BD">
        <w:rPr>
          <w:rStyle w:val="sb8d990e2"/>
        </w:rPr>
        <w:t>s</w:t>
      </w:r>
      <w:r w:rsidR="00A25761" w:rsidRPr="00A25761">
        <w:rPr>
          <w:rStyle w:val="sb8d990e2"/>
        </w:rPr>
        <w:t xml:space="preserve"> un </w:t>
      </w:r>
      <w:r w:rsidR="002A33CB" w:rsidRPr="00A25761">
        <w:rPr>
          <w:rStyle w:val="sb8d990e2"/>
        </w:rPr>
        <w:t>État</w:t>
      </w:r>
      <w:r w:rsidR="00A25761" w:rsidRPr="00A25761">
        <w:rPr>
          <w:rStyle w:val="sb8d990e2"/>
        </w:rPr>
        <w:t xml:space="preserve"> peut avoir des raisons légitimes de restreindre l</w:t>
      </w:r>
      <w:r w:rsidR="00AE1D81">
        <w:rPr>
          <w:rStyle w:val="sb8d990e2"/>
        </w:rPr>
        <w:t>’</w:t>
      </w:r>
      <w:r w:rsidR="00A25761" w:rsidRPr="00A25761">
        <w:rPr>
          <w:rStyle w:val="sb8d990e2"/>
        </w:rPr>
        <w:t>usage de services publics coûteux – tels que les programmes d</w:t>
      </w:r>
      <w:r w:rsidR="00AE1D81">
        <w:rPr>
          <w:rStyle w:val="sb8d990e2"/>
        </w:rPr>
        <w:t>’</w:t>
      </w:r>
      <w:r w:rsidR="00A25761" w:rsidRPr="00A25761">
        <w:rPr>
          <w:rStyle w:val="sb8d990e2"/>
        </w:rPr>
        <w:t>assurances sociales, d</w:t>
      </w:r>
      <w:r w:rsidR="00AE1D81">
        <w:rPr>
          <w:rStyle w:val="sb8d990e2"/>
        </w:rPr>
        <w:t>’</w:t>
      </w:r>
      <w:r w:rsidR="00A25761" w:rsidRPr="00A25761">
        <w:rPr>
          <w:rStyle w:val="sb8d990e2"/>
        </w:rPr>
        <w:t>allocations publiques et de soins</w:t>
      </w:r>
      <w:r w:rsidR="00A25761" w:rsidRPr="00215272">
        <w:rPr>
          <w:rStyle w:val="sb8d990e2"/>
        </w:rPr>
        <w:t xml:space="preserve"> </w:t>
      </w:r>
      <w:r w:rsidR="00215272">
        <w:rPr>
          <w:rStyle w:val="sb8d990e2"/>
        </w:rPr>
        <w:t xml:space="preserve">(voir, </w:t>
      </w:r>
      <w:r w:rsidR="00215272">
        <w:rPr>
          <w:rStyle w:val="sb8d990e2"/>
          <w:i/>
        </w:rPr>
        <w:t>mutatis mutandis</w:t>
      </w:r>
      <w:r w:rsidR="00215272">
        <w:rPr>
          <w:rStyle w:val="sb8d990e2"/>
        </w:rPr>
        <w:t xml:space="preserve">, </w:t>
      </w:r>
      <w:r w:rsidR="00215272" w:rsidRPr="00215272">
        <w:rPr>
          <w:i/>
        </w:rPr>
        <w:t>Ponomaryovi</w:t>
      </w:r>
      <w:r w:rsidR="00215272" w:rsidRPr="00215272">
        <w:t>, précité, § 5</w:t>
      </w:r>
      <w:r w:rsidR="00215272">
        <w:t>4).</w:t>
      </w:r>
    </w:p>
    <w:p w:rsidR="000D6612" w:rsidRDefault="00DE758E" w:rsidP="00CA4822">
      <w:pPr>
        <w:pStyle w:val="ECHRPara"/>
        <w:rPr>
          <w:rStyle w:val="sb8d990e2"/>
        </w:rPr>
      </w:pPr>
      <w:r>
        <w:rPr>
          <w:rStyle w:val="sb8d990e2"/>
        </w:rPr>
        <w:fldChar w:fldCharType="begin"/>
      </w:r>
      <w:r>
        <w:rPr>
          <w:rStyle w:val="sb8d990e2"/>
        </w:rPr>
        <w:instrText xml:space="preserve"> SEQ level0 \*arabic </w:instrText>
      </w:r>
      <w:r>
        <w:rPr>
          <w:rStyle w:val="sb8d990e2"/>
        </w:rPr>
        <w:fldChar w:fldCharType="separate"/>
      </w:r>
      <w:r w:rsidR="00F44484">
        <w:rPr>
          <w:rStyle w:val="sb8d990e2"/>
          <w:noProof/>
        </w:rPr>
        <w:t>53</w:t>
      </w:r>
      <w:r>
        <w:rPr>
          <w:rStyle w:val="sb8d990e2"/>
        </w:rPr>
        <w:fldChar w:fldCharType="end"/>
      </w:r>
      <w:r>
        <w:rPr>
          <w:rStyle w:val="sb8d990e2"/>
        </w:rPr>
        <w:t>.  </w:t>
      </w:r>
      <w:r w:rsidR="000D6612" w:rsidRPr="00AF4E21">
        <w:t xml:space="preserve">Quant aux « raisons budgétaires » avancées par le Gouvernement (paragraphe </w:t>
      </w:r>
      <w:r w:rsidR="00F46E85" w:rsidRPr="00AF4E21">
        <w:rPr>
          <w:noProof/>
        </w:rPr>
        <w:t>44</w:t>
      </w:r>
      <w:r w:rsidR="000D6612" w:rsidRPr="00AF4E21">
        <w:t xml:space="preserve"> ci-dessus), la Cour </w:t>
      </w:r>
      <w:r w:rsidR="00C506E0" w:rsidRPr="00AF4E21">
        <w:t xml:space="preserve">reconnaît </w:t>
      </w:r>
      <w:r w:rsidR="000D6612" w:rsidRPr="00AF4E21">
        <w:t>que la protection des intérêts budgétaires de l</w:t>
      </w:r>
      <w:r w:rsidR="00AE1D81">
        <w:t>’</w:t>
      </w:r>
      <w:r w:rsidR="00F46E85" w:rsidRPr="00AF4E21">
        <w:t>État</w:t>
      </w:r>
      <w:r w:rsidR="000D6612" w:rsidRPr="00AF4E21">
        <w:t xml:space="preserve"> constitue un but légitime de la distinction litigieuse. Ce but ne saurait toutefois, à lui seul, justifier la différence de traitement dénoncée. Il reste à établir </w:t>
      </w:r>
      <w:r w:rsidR="00354002" w:rsidRPr="00AF4E21">
        <w:t>s</w:t>
      </w:r>
      <w:r w:rsidR="00AE1D81">
        <w:t>’</w:t>
      </w:r>
      <w:r w:rsidR="000D6612" w:rsidRPr="00AF4E21">
        <w:t>il existe un rapport raisonnable de proportionnalité entre le but légitime susmentionné et les moyens employés en l</w:t>
      </w:r>
      <w:r w:rsidR="00AE1D81">
        <w:t>’</w:t>
      </w:r>
      <w:r w:rsidR="000D6612" w:rsidRPr="00AF4E21">
        <w:t xml:space="preserve">occurrence. </w:t>
      </w:r>
      <w:r w:rsidR="00F46E85" w:rsidRPr="00AF4E21">
        <w:t>À</w:t>
      </w:r>
      <w:r w:rsidR="000D6612" w:rsidRPr="00AF4E21">
        <w:t xml:space="preserve"> cet égard, la Cour rappelle que le refus des autorités nationales d</w:t>
      </w:r>
      <w:r w:rsidR="00AE1D81">
        <w:t>’</w:t>
      </w:r>
      <w:r w:rsidR="000D6612" w:rsidRPr="00AF4E21">
        <w:t>accorder au requérant le bénéfice de l</w:t>
      </w:r>
      <w:r w:rsidR="00AE1D81">
        <w:t>’</w:t>
      </w:r>
      <w:r w:rsidR="000D6612" w:rsidRPr="00AF4E21">
        <w:t>allocation familiale repose exclusivement sur le constat qu</w:t>
      </w:r>
      <w:r w:rsidR="00AE1D81">
        <w:t>’</w:t>
      </w:r>
      <w:r w:rsidR="000D6612" w:rsidRPr="00AF4E21">
        <w:t xml:space="preserve">il ne </w:t>
      </w:r>
      <w:r w:rsidR="00F46E85" w:rsidRPr="00AF4E21">
        <w:t>possédait</w:t>
      </w:r>
      <w:r w:rsidR="000D6612" w:rsidRPr="00AF4E21">
        <w:t xml:space="preserve"> pas la nationalité d</w:t>
      </w:r>
      <w:r w:rsidR="00AE1D81">
        <w:t>’</w:t>
      </w:r>
      <w:r w:rsidR="000D6612" w:rsidRPr="00AF4E21">
        <w:t xml:space="preserve">un </w:t>
      </w:r>
      <w:r w:rsidR="00354002" w:rsidRPr="00AF4E21">
        <w:t>État</w:t>
      </w:r>
      <w:r w:rsidR="000D6612" w:rsidRPr="00AF4E21">
        <w:t xml:space="preserve"> membre de l</w:t>
      </w:r>
      <w:r w:rsidR="00AE1D81">
        <w:t>’</w:t>
      </w:r>
      <w:r w:rsidR="000D6612" w:rsidRPr="00AF4E21">
        <w:t>Union européenne. Il n</w:t>
      </w:r>
      <w:r w:rsidR="00AE1D81">
        <w:t>’</w:t>
      </w:r>
      <w:r w:rsidR="000D6612" w:rsidRPr="00AF4E21">
        <w:t>est pas contesté qu</w:t>
      </w:r>
      <w:r w:rsidR="00AE1D81">
        <w:t>’</w:t>
      </w:r>
      <w:r w:rsidR="000D6612" w:rsidRPr="00AF4E21">
        <w:t>un citoyen d</w:t>
      </w:r>
      <w:r w:rsidR="00AE1D81">
        <w:t>’</w:t>
      </w:r>
      <w:r w:rsidR="000D6612" w:rsidRPr="00AF4E21">
        <w:t xml:space="preserve">un tel </w:t>
      </w:r>
      <w:r w:rsidR="00354002" w:rsidRPr="00AF4E21">
        <w:t>État</w:t>
      </w:r>
      <w:r w:rsidR="000D6612" w:rsidRPr="00AF4E21">
        <w:t xml:space="preserve"> se trouvant dans les mêmes conditions que le requérant se verrait accorder l</w:t>
      </w:r>
      <w:r w:rsidR="00AE1D81">
        <w:t>’</w:t>
      </w:r>
      <w:r w:rsidR="000D6612" w:rsidRPr="00AF4E21">
        <w:t>allocation litigieuse. La nationalité constitue donc le seul et unique critère de la distinction en cause ; or la Cour rappelle que seules des considérations très fortes peuvent l</w:t>
      </w:r>
      <w:r w:rsidR="00AE1D81">
        <w:t>’</w:t>
      </w:r>
      <w:r w:rsidR="000D6612" w:rsidRPr="00AF4E21">
        <w:t>amener à estimer compatible avec la Convention une différence de traitement exclusivement fondée sur la nationalité (paragraphe</w:t>
      </w:r>
      <w:r w:rsidR="00354002" w:rsidRPr="00AF4E21">
        <w:t xml:space="preserve"> </w:t>
      </w:r>
      <w:r w:rsidR="00354002" w:rsidRPr="00AF4E21">
        <w:rPr>
          <w:noProof/>
        </w:rPr>
        <w:t>46</w:t>
      </w:r>
      <w:r w:rsidR="000D6612" w:rsidRPr="00AF4E21">
        <w:t xml:space="preserve"> ci-dessus). Dans ces circonstances, et nonobstant la grande marge d</w:t>
      </w:r>
      <w:r w:rsidR="00AE1D81">
        <w:t>’</w:t>
      </w:r>
      <w:r w:rsidR="000D6612" w:rsidRPr="00AF4E21">
        <w:t>appréciation dont bénéficient les autorités nationales en matière de sécurité sociale, l</w:t>
      </w:r>
      <w:r w:rsidR="00AE1D81">
        <w:t>’</w:t>
      </w:r>
      <w:r w:rsidR="000D6612" w:rsidRPr="00AF4E21">
        <w:t>argument invoqué par le Gouvernement ne suffit pas à convaincre la Cour de l</w:t>
      </w:r>
      <w:r w:rsidR="00AE1D81">
        <w:t>’</w:t>
      </w:r>
      <w:r w:rsidR="000D6612" w:rsidRPr="00AF4E21">
        <w:t>existence, dans la présente affaire, d</w:t>
      </w:r>
      <w:r w:rsidR="00AE1D81">
        <w:t>’</w:t>
      </w:r>
      <w:r w:rsidR="000D6612" w:rsidRPr="00AF4E21">
        <w:t>un rapport raisonnable de proportionnalité qui rendrait la distinction critiquée conforme aux exigences de l</w:t>
      </w:r>
      <w:r w:rsidR="00AE1D81">
        <w:t>’</w:t>
      </w:r>
      <w:r w:rsidR="000D6612" w:rsidRPr="00AF4E21">
        <w:t xml:space="preserve">article 14 de la Convention (voir, </w:t>
      </w:r>
      <w:r w:rsidR="000D6612" w:rsidRPr="00AF4E21">
        <w:rPr>
          <w:i/>
        </w:rPr>
        <w:t>mutatis mutandis</w:t>
      </w:r>
      <w:r w:rsidR="000D6612" w:rsidRPr="00AF4E21">
        <w:t xml:space="preserve">, </w:t>
      </w:r>
      <w:r w:rsidR="000D6612" w:rsidRPr="00AF4E21">
        <w:rPr>
          <w:i/>
        </w:rPr>
        <w:t>Andrejeva</w:t>
      </w:r>
      <w:r w:rsidR="000D6612" w:rsidRPr="00AF4E21">
        <w:t>, précité, §§ 86-89).</w:t>
      </w:r>
    </w:p>
    <w:p w:rsidR="00CA4822" w:rsidRDefault="004C6FFD" w:rsidP="004C6FFD">
      <w:pPr>
        <w:pStyle w:val="ECHRHeading4"/>
      </w:pPr>
      <w:r>
        <w:t>d)</w:t>
      </w:r>
      <w:r w:rsidR="00CA4822">
        <w:t>  Conclusion</w:t>
      </w:r>
    </w:p>
    <w:p w:rsidR="00177D96" w:rsidRPr="00177D96" w:rsidRDefault="004C6FFD" w:rsidP="00177D96">
      <w:pPr>
        <w:pStyle w:val="ECHRPara"/>
      </w:pPr>
      <w:r>
        <w:rPr>
          <w:rStyle w:val="sb8d990e2"/>
        </w:rPr>
        <w:fldChar w:fldCharType="begin"/>
      </w:r>
      <w:r>
        <w:rPr>
          <w:rStyle w:val="sb8d990e2"/>
        </w:rPr>
        <w:instrText xml:space="preserve"> SEQ level0 \*arabic </w:instrText>
      </w:r>
      <w:r>
        <w:rPr>
          <w:rStyle w:val="sb8d990e2"/>
        </w:rPr>
        <w:fldChar w:fldCharType="separate"/>
      </w:r>
      <w:r w:rsidR="00F44484">
        <w:rPr>
          <w:rStyle w:val="sb8d990e2"/>
          <w:noProof/>
        </w:rPr>
        <w:t>54</w:t>
      </w:r>
      <w:r>
        <w:rPr>
          <w:rStyle w:val="sb8d990e2"/>
        </w:rPr>
        <w:fldChar w:fldCharType="end"/>
      </w:r>
      <w:r>
        <w:rPr>
          <w:rStyle w:val="sb8d990e2"/>
        </w:rPr>
        <w:t>.  </w:t>
      </w:r>
      <w:r w:rsidR="00CA4822" w:rsidRPr="00B21B7E">
        <w:rPr>
          <w:rStyle w:val="sb8d990e2"/>
        </w:rPr>
        <w:t>Compte tenu de ce qui précède, la justification avancée par le Gouvernement ne paraît pas raisonnable et la diffé</w:t>
      </w:r>
      <w:r w:rsidR="00CA4822">
        <w:rPr>
          <w:rStyle w:val="sb8d990e2"/>
        </w:rPr>
        <w:t>rence de traitement constatée s</w:t>
      </w:r>
      <w:r w:rsidR="00AE1D81">
        <w:rPr>
          <w:rStyle w:val="sb8d990e2"/>
        </w:rPr>
        <w:t>’</w:t>
      </w:r>
      <w:r w:rsidR="00CA4822" w:rsidRPr="00B21B7E">
        <w:rPr>
          <w:rStyle w:val="sb8d990e2"/>
        </w:rPr>
        <w:t>avè</w:t>
      </w:r>
      <w:r w:rsidR="00CA4822">
        <w:rPr>
          <w:rStyle w:val="sb8d990e2"/>
        </w:rPr>
        <w:t>re ainsi discriminatoire au sens de l</w:t>
      </w:r>
      <w:r w:rsidR="00AE1D81">
        <w:rPr>
          <w:rStyle w:val="sb8d990e2"/>
        </w:rPr>
        <w:t>’</w:t>
      </w:r>
      <w:r w:rsidR="00CA4822" w:rsidRPr="00B21B7E">
        <w:rPr>
          <w:rStyle w:val="sb8d990e2"/>
        </w:rPr>
        <w:t>article 14 de la Convention</w:t>
      </w:r>
      <w:r w:rsidR="00CA4822">
        <w:rPr>
          <w:rStyle w:val="sb8d990e2"/>
        </w:rPr>
        <w:t>. Il y a donc eu violation de l</w:t>
      </w:r>
      <w:r w:rsidR="00AE1D81">
        <w:rPr>
          <w:rStyle w:val="sb8d990e2"/>
        </w:rPr>
        <w:t>’</w:t>
      </w:r>
      <w:r w:rsidR="00CA4822">
        <w:rPr>
          <w:rStyle w:val="sb8d990e2"/>
        </w:rPr>
        <w:t>article 14 combiné avec l</w:t>
      </w:r>
      <w:r w:rsidR="00AE1D81">
        <w:rPr>
          <w:rStyle w:val="sb8d990e2"/>
        </w:rPr>
        <w:t>’</w:t>
      </w:r>
      <w:r w:rsidR="00CA4822" w:rsidRPr="00B21B7E">
        <w:rPr>
          <w:rStyle w:val="sb8d990e2"/>
        </w:rPr>
        <w:t>article 8 de la Convention.</w:t>
      </w:r>
    </w:p>
    <w:p w:rsidR="00EC6427" w:rsidRPr="00685582" w:rsidRDefault="00240E1A">
      <w:pPr>
        <w:pStyle w:val="ECHRHeading1"/>
      </w:pPr>
      <w:r>
        <w:t>III</w:t>
      </w:r>
      <w:r w:rsidR="00EC6427" w:rsidRPr="00685582">
        <w:t>.  SUR L</w:t>
      </w:r>
      <w:r w:rsidR="00AE1D81">
        <w:t>’</w:t>
      </w:r>
      <w:r w:rsidR="00EC6427" w:rsidRPr="00685582">
        <w:t>APPLICATION DE L</w:t>
      </w:r>
      <w:r w:rsidR="00AE1D81">
        <w:t>’</w:t>
      </w:r>
      <w:r w:rsidR="00EC6427" w:rsidRPr="00685582">
        <w:t>ARTICLE 41 DE LA CONVENTION</w:t>
      </w:r>
    </w:p>
    <w:p w:rsidR="005B3EB2" w:rsidRPr="00685582" w:rsidRDefault="00F44484" w:rsidP="005B3EB2">
      <w:pPr>
        <w:pStyle w:val="ECHRPara"/>
        <w:keepNext/>
        <w:keepLines/>
        <w:outlineLvl w:val="0"/>
      </w:pPr>
      <w:r>
        <w:fldChar w:fldCharType="begin"/>
      </w:r>
      <w:r>
        <w:instrText xml:space="preserve"> SEQ level0 \*arabic </w:instrText>
      </w:r>
      <w:r>
        <w:fldChar w:fldCharType="separate"/>
      </w:r>
      <w:r>
        <w:rPr>
          <w:noProof/>
        </w:rPr>
        <w:t>55</w:t>
      </w:r>
      <w:r>
        <w:rPr>
          <w:noProof/>
        </w:rPr>
        <w:fldChar w:fldCharType="end"/>
      </w:r>
      <w:r w:rsidR="002A33CB">
        <w:t>.  </w:t>
      </w:r>
      <w:r w:rsidR="005B3EB2" w:rsidRPr="00685582">
        <w:t>Aux termes de l</w:t>
      </w:r>
      <w:r w:rsidR="00AE1D81">
        <w:t>’</w:t>
      </w:r>
      <w:r w:rsidR="005B3EB2" w:rsidRPr="00685582">
        <w:t>article 41 de la Convention,</w:t>
      </w:r>
    </w:p>
    <w:p w:rsidR="005B3EB2" w:rsidRPr="00685582" w:rsidRDefault="005B3EB2" w:rsidP="005B3EB2">
      <w:pPr>
        <w:pStyle w:val="ECHRParaQuote"/>
        <w:keepNext/>
        <w:keepLines/>
      </w:pPr>
      <w:r w:rsidRPr="00685582">
        <w:t>« Si la Cour déclare qu</w:t>
      </w:r>
      <w:r w:rsidR="00AE1D81">
        <w:t>’</w:t>
      </w:r>
      <w:r w:rsidRPr="00685582">
        <w:t>il y a eu violation de la Convention ou de ses Protocoles, et si le droit interne de la Haute Partie contractante ne permet d</w:t>
      </w:r>
      <w:r w:rsidR="00AE1D81">
        <w:t>’</w:t>
      </w:r>
      <w:r w:rsidRPr="00685582">
        <w:t>effacer qu</w:t>
      </w:r>
      <w:r w:rsidR="00AE1D81">
        <w:t>’</w:t>
      </w:r>
      <w:r w:rsidRPr="00685582">
        <w:t>imparfaitement les conséquences de cette violation, la Cour accorde à la partie lésée, s</w:t>
      </w:r>
      <w:r w:rsidR="00AE1D81">
        <w:t>’</w:t>
      </w:r>
      <w:r w:rsidRPr="00685582">
        <w:t>il y a lieu, une satisfaction équitable. »</w:t>
      </w:r>
    </w:p>
    <w:p w:rsidR="005B3EB2" w:rsidRPr="00685582" w:rsidRDefault="005B3EB2" w:rsidP="005B3EB2">
      <w:pPr>
        <w:pStyle w:val="ECHRHeading2"/>
        <w:outlineLvl w:val="0"/>
      </w:pPr>
      <w:r w:rsidRPr="00685582">
        <w:t>A.  Dommage</w:t>
      </w:r>
    </w:p>
    <w:p w:rsidR="005B3EB2" w:rsidRDefault="00F44484" w:rsidP="005B3EB2">
      <w:pPr>
        <w:pStyle w:val="ECHRPara"/>
      </w:pPr>
      <w:r>
        <w:fldChar w:fldCharType="begin"/>
      </w:r>
      <w:r>
        <w:instrText xml:space="preserve"> SEQ level0 \*arabic </w:instrText>
      </w:r>
      <w:r>
        <w:fldChar w:fldCharType="separate"/>
      </w:r>
      <w:r>
        <w:rPr>
          <w:noProof/>
        </w:rPr>
        <w:t>56</w:t>
      </w:r>
      <w:r>
        <w:rPr>
          <w:noProof/>
        </w:rPr>
        <w:fldChar w:fldCharType="end"/>
      </w:r>
      <w:r w:rsidR="005B3EB2" w:rsidRPr="00685582">
        <w:t>.  </w:t>
      </w:r>
      <w:r w:rsidR="005B3EB2">
        <w:rPr>
          <w:noProof/>
        </w:rPr>
        <w:t>Le requérant</w:t>
      </w:r>
      <w:r w:rsidR="005B3EB2" w:rsidRPr="00685582">
        <w:t xml:space="preserve"> réclame </w:t>
      </w:r>
      <w:r w:rsidR="005B3EB2">
        <w:t>9 416,05</w:t>
      </w:r>
      <w:r w:rsidR="00E6035D">
        <w:t> </w:t>
      </w:r>
      <w:r w:rsidR="005B3EB2" w:rsidRPr="00685582">
        <w:t>EUR au titre du préjudice matériel qu</w:t>
      </w:r>
      <w:r w:rsidR="00AE1D81">
        <w:t>’</w:t>
      </w:r>
      <w:r w:rsidR="002A33CB">
        <w:t>il</w:t>
      </w:r>
      <w:r w:rsidR="005B3EB2" w:rsidRPr="00685582">
        <w:t xml:space="preserve"> aurait subi</w:t>
      </w:r>
      <w:r w:rsidR="005B3EB2">
        <w:t>. Ce montant correspondrait aux allocations non perçues de 1999 à 2004 (8 016,05</w:t>
      </w:r>
      <w:r w:rsidR="00E6035D">
        <w:t> </w:t>
      </w:r>
      <w:r w:rsidR="005B3EB2">
        <w:t xml:space="preserve">EUR), </w:t>
      </w:r>
      <w:r w:rsidR="007243BD">
        <w:t>augmentées d</w:t>
      </w:r>
      <w:r w:rsidR="005B3EB2">
        <w:t>es intérêts légaux (1 400</w:t>
      </w:r>
      <w:r w:rsidR="00E6035D">
        <w:t> </w:t>
      </w:r>
      <w:r w:rsidR="005B3EB2">
        <w:t>EUR)</w:t>
      </w:r>
      <w:r w:rsidR="005B3EB2" w:rsidRPr="00685582">
        <w:t>.</w:t>
      </w:r>
    </w:p>
    <w:p w:rsidR="005B3EB2" w:rsidRPr="00685582" w:rsidRDefault="00F44484" w:rsidP="005B3EB2">
      <w:pPr>
        <w:pStyle w:val="ECHRPara"/>
      </w:pPr>
      <w:r>
        <w:fldChar w:fldCharType="begin"/>
      </w:r>
      <w:r>
        <w:instrText xml:space="preserve"> SEQ level0 \*arabic </w:instrText>
      </w:r>
      <w:r>
        <w:fldChar w:fldCharType="separate"/>
      </w:r>
      <w:r>
        <w:rPr>
          <w:noProof/>
        </w:rPr>
        <w:t>57</w:t>
      </w:r>
      <w:r>
        <w:rPr>
          <w:noProof/>
        </w:rPr>
        <w:fldChar w:fldCharType="end"/>
      </w:r>
      <w:r w:rsidR="005B3EB2">
        <w:t>.  Il demande en outre l</w:t>
      </w:r>
      <w:r w:rsidR="00AE1D81">
        <w:t>’</w:t>
      </w:r>
      <w:r w:rsidR="005B3EB2">
        <w:t>octroi d</w:t>
      </w:r>
      <w:r w:rsidR="00AE1D81">
        <w:t>’</w:t>
      </w:r>
      <w:r w:rsidR="005B3EB2">
        <w:t xml:space="preserve">une </w:t>
      </w:r>
      <w:r w:rsidR="007243BD">
        <w:t xml:space="preserve">réparation </w:t>
      </w:r>
      <w:r w:rsidR="005B3EB2">
        <w:t>pour dommage moral, sans en indiquer le montant.</w:t>
      </w:r>
    </w:p>
    <w:p w:rsidR="005B3EB2" w:rsidRPr="00685582" w:rsidRDefault="00F44484" w:rsidP="005B3EB2">
      <w:pPr>
        <w:pStyle w:val="ECHRPara"/>
        <w:outlineLvl w:val="0"/>
      </w:pPr>
      <w:r>
        <w:fldChar w:fldCharType="begin"/>
      </w:r>
      <w:r>
        <w:instrText xml:space="preserve"> SEQ level0 \*arabic </w:instrText>
      </w:r>
      <w:r>
        <w:fldChar w:fldCharType="separate"/>
      </w:r>
      <w:r>
        <w:rPr>
          <w:noProof/>
        </w:rPr>
        <w:t>58</w:t>
      </w:r>
      <w:r>
        <w:rPr>
          <w:noProof/>
        </w:rPr>
        <w:fldChar w:fldCharType="end"/>
      </w:r>
      <w:r w:rsidR="005B3EB2" w:rsidRPr="00685582">
        <w:t xml:space="preserve">.  Le Gouvernement </w:t>
      </w:r>
      <w:r w:rsidR="005B3EB2">
        <w:t>n</w:t>
      </w:r>
      <w:r w:rsidR="00AE1D81">
        <w:t>’</w:t>
      </w:r>
      <w:r w:rsidR="005B3EB2">
        <w:t xml:space="preserve">a pas présenté </w:t>
      </w:r>
      <w:r w:rsidR="009808A5">
        <w:t>d</w:t>
      </w:r>
      <w:r w:rsidR="00AE1D81">
        <w:t>’</w:t>
      </w:r>
      <w:r w:rsidR="009808A5">
        <w:t>observations</w:t>
      </w:r>
      <w:r w:rsidR="005B3EB2">
        <w:t xml:space="preserve"> sur ce point.</w:t>
      </w:r>
    </w:p>
    <w:p w:rsidR="00027D01" w:rsidRDefault="00F44484" w:rsidP="005B3EB2">
      <w:pPr>
        <w:pStyle w:val="ECHRPara"/>
      </w:pPr>
      <w:r>
        <w:fldChar w:fldCharType="begin"/>
      </w:r>
      <w:r>
        <w:instrText xml:space="preserve"> SEQ level0 \*arabic </w:instrText>
      </w:r>
      <w:r>
        <w:fldChar w:fldCharType="separate"/>
      </w:r>
      <w:r>
        <w:rPr>
          <w:noProof/>
        </w:rPr>
        <w:t>59</w:t>
      </w:r>
      <w:r>
        <w:rPr>
          <w:noProof/>
        </w:rPr>
        <w:fldChar w:fldCharType="end"/>
      </w:r>
      <w:r w:rsidR="005B3EB2" w:rsidRPr="00685582">
        <w:t xml:space="preserve">.  La Cour </w:t>
      </w:r>
      <w:r w:rsidR="000E3C7F">
        <w:t>relève qu</w:t>
      </w:r>
      <w:r w:rsidR="00AE1D81">
        <w:t>’</w:t>
      </w:r>
      <w:r w:rsidR="000E3C7F">
        <w:t>elle a conclu à la violation de l</w:t>
      </w:r>
      <w:r w:rsidR="00AE1D81">
        <w:t>’</w:t>
      </w:r>
      <w:r w:rsidR="000E3C7F">
        <w:t>article 14 de la Convention, combiné avec l</w:t>
      </w:r>
      <w:r w:rsidR="00AE1D81">
        <w:t>’</w:t>
      </w:r>
      <w:r w:rsidR="000E3C7F">
        <w:t>article 8, en raison du fait que le refus d</w:t>
      </w:r>
      <w:r w:rsidR="00AE1D81">
        <w:t>’</w:t>
      </w:r>
      <w:r w:rsidR="000E3C7F">
        <w:t>octroyer au requérant l</w:t>
      </w:r>
      <w:r w:rsidR="00AE1D81">
        <w:t>’</w:t>
      </w:r>
      <w:r w:rsidR="000E3C7F">
        <w:t>allocation familiale prévue à l</w:t>
      </w:r>
      <w:r w:rsidR="00AE1D81">
        <w:t>’</w:t>
      </w:r>
      <w:r w:rsidR="000E3C7F">
        <w:t>article 65 de la loi n</w:t>
      </w:r>
      <w:r w:rsidR="00143C2E" w:rsidRPr="00143C2E">
        <w:rPr>
          <w:vertAlign w:val="superscript"/>
        </w:rPr>
        <w:t>o</w:t>
      </w:r>
      <w:r w:rsidR="00143C2E">
        <w:t> </w:t>
      </w:r>
      <w:r w:rsidR="000E3C7F">
        <w:t xml:space="preserve">448 de 1998 </w:t>
      </w:r>
      <w:r w:rsidR="002A33CB">
        <w:t>s</w:t>
      </w:r>
      <w:r w:rsidR="00AE1D81">
        <w:t>’</w:t>
      </w:r>
      <w:r w:rsidR="002A33CB">
        <w:t xml:space="preserve">analysait en </w:t>
      </w:r>
      <w:r w:rsidR="000E3C7F">
        <w:t>une discrimination fondée sur la nationalité. Dès lors, le préjudice matériel subi par le requérant correspond au</w:t>
      </w:r>
      <w:r w:rsidR="003A5467">
        <w:t xml:space="preserve"> montant des</w:t>
      </w:r>
      <w:r w:rsidR="000E3C7F">
        <w:t xml:space="preserve"> allocations non perçues </w:t>
      </w:r>
      <w:r w:rsidR="009808A5">
        <w:t xml:space="preserve">– </w:t>
      </w:r>
      <w:r w:rsidR="003A5467">
        <w:t>dont le calcul n</w:t>
      </w:r>
      <w:r w:rsidR="00AE1D81">
        <w:t>’</w:t>
      </w:r>
      <w:r w:rsidR="003A5467">
        <w:t>a pas été</w:t>
      </w:r>
      <w:r w:rsidR="000E3C7F">
        <w:t xml:space="preserve"> contest</w:t>
      </w:r>
      <w:r w:rsidR="003A5467">
        <w:t>é</w:t>
      </w:r>
      <w:r w:rsidR="000E3C7F">
        <w:t xml:space="preserve"> pa</w:t>
      </w:r>
      <w:r w:rsidR="003A5467">
        <w:t>r</w:t>
      </w:r>
      <w:r w:rsidR="000E3C7F">
        <w:t xml:space="preserve"> le </w:t>
      </w:r>
      <w:r w:rsidR="003A5467">
        <w:t>Gouvernement</w:t>
      </w:r>
      <w:r w:rsidR="00027D01">
        <w:rPr>
          <w:rStyle w:val="s7d2086b4"/>
        </w:rPr>
        <w:t xml:space="preserve">, soit </w:t>
      </w:r>
      <w:r w:rsidR="00027D01">
        <w:t>8 016,05</w:t>
      </w:r>
      <w:r w:rsidR="00E6035D">
        <w:t> </w:t>
      </w:r>
      <w:r w:rsidR="00027D01">
        <w:t>EUR</w:t>
      </w:r>
      <w:r w:rsidR="003A5467">
        <w:t>.</w:t>
      </w:r>
      <w:r w:rsidR="005629EA">
        <w:t xml:space="preserve"> </w:t>
      </w:r>
      <w:r w:rsidR="005629EA">
        <w:rPr>
          <w:rFonts w:cstheme="minorHAnsi"/>
        </w:rPr>
        <w:t>À</w:t>
      </w:r>
      <w:r w:rsidR="005629EA">
        <w:t xml:space="preserve"> cette somme devant s</w:t>
      </w:r>
      <w:r w:rsidR="00AE1D81">
        <w:t>’</w:t>
      </w:r>
      <w:r w:rsidR="005629EA">
        <w:t>ajouter les intérêts légaux, la Cour octroie au requérant le montant qu</w:t>
      </w:r>
      <w:r w:rsidR="00AE1D81">
        <w:t>’</w:t>
      </w:r>
      <w:r w:rsidR="005629EA">
        <w:t>il sollicite, soit 9 416,05 </w:t>
      </w:r>
      <w:r w:rsidR="005629EA" w:rsidRPr="00685582">
        <w:t>EUR</w:t>
      </w:r>
      <w:r w:rsidR="005629EA">
        <w:t>.</w:t>
      </w:r>
    </w:p>
    <w:p w:rsidR="005B3EB2" w:rsidRPr="00685582" w:rsidRDefault="00F44484" w:rsidP="005B3EB2">
      <w:pPr>
        <w:pStyle w:val="ECHRPara"/>
      </w:pPr>
      <w:r>
        <w:fldChar w:fldCharType="begin"/>
      </w:r>
      <w:r>
        <w:instrText xml:space="preserve"> SEQ level0 \*arabic </w:instrText>
      </w:r>
      <w:r>
        <w:fldChar w:fldCharType="separate"/>
      </w:r>
      <w:r>
        <w:rPr>
          <w:noProof/>
        </w:rPr>
        <w:t>60</w:t>
      </w:r>
      <w:r>
        <w:rPr>
          <w:noProof/>
        </w:rPr>
        <w:fldChar w:fldCharType="end"/>
      </w:r>
      <w:r w:rsidR="00027D01">
        <w:t xml:space="preserve">.  La Cour considère </w:t>
      </w:r>
      <w:r w:rsidR="00F76EA1">
        <w:t>en outre</w:t>
      </w:r>
      <w:r w:rsidR="00027D01">
        <w:t xml:space="preserve"> que</w:t>
      </w:r>
      <w:r w:rsidR="000E3C7F">
        <w:t xml:space="preserve"> le requérant a subi un tort moral certain. Compte tenu des éléments en sa possession, la Cour décide d</w:t>
      </w:r>
      <w:r w:rsidR="00AE1D81">
        <w:t>’</w:t>
      </w:r>
      <w:r w:rsidR="000E3C7F">
        <w:t>octroyer à l</w:t>
      </w:r>
      <w:r w:rsidR="00AE1D81">
        <w:t>’</w:t>
      </w:r>
      <w:r w:rsidR="000E3C7F">
        <w:t xml:space="preserve">intéressé la somme de </w:t>
      </w:r>
      <w:r w:rsidR="00F76EA1">
        <w:t>10 000</w:t>
      </w:r>
      <w:r w:rsidR="00E6035D">
        <w:t> </w:t>
      </w:r>
      <w:r w:rsidR="005B3EB2" w:rsidRPr="00685582">
        <w:t xml:space="preserve">EUR </w:t>
      </w:r>
      <w:r w:rsidR="003A5467">
        <w:t>à ce titre</w:t>
      </w:r>
      <w:r w:rsidR="005B3EB2" w:rsidRPr="00685582">
        <w:t>.</w:t>
      </w:r>
    </w:p>
    <w:p w:rsidR="005B3EB2" w:rsidRPr="00685582" w:rsidRDefault="005B3EB2" w:rsidP="005B3EB2">
      <w:pPr>
        <w:pStyle w:val="ECHRHeading2"/>
        <w:outlineLvl w:val="0"/>
      </w:pPr>
      <w:r w:rsidRPr="00685582">
        <w:t>B.  Frais et dépens</w:t>
      </w:r>
    </w:p>
    <w:p w:rsidR="005B3EB2" w:rsidRPr="00685582" w:rsidRDefault="00F44484" w:rsidP="005B3EB2">
      <w:pPr>
        <w:pStyle w:val="ECHRPara"/>
      </w:pPr>
      <w:r>
        <w:fldChar w:fldCharType="begin"/>
      </w:r>
      <w:r>
        <w:instrText xml:space="preserve"> SEQ level0 \*arabic </w:instrText>
      </w:r>
      <w:r>
        <w:fldChar w:fldCharType="separate"/>
      </w:r>
      <w:r>
        <w:rPr>
          <w:noProof/>
        </w:rPr>
        <w:t>61</w:t>
      </w:r>
      <w:r>
        <w:rPr>
          <w:noProof/>
        </w:rPr>
        <w:fldChar w:fldCharType="end"/>
      </w:r>
      <w:r w:rsidR="005B3EB2" w:rsidRPr="00685582">
        <w:t>.  </w:t>
      </w:r>
      <w:r w:rsidR="005B3EB2" w:rsidRPr="00685582">
        <w:rPr>
          <w:noProof/>
        </w:rPr>
        <w:t>L</w:t>
      </w:r>
      <w:r w:rsidR="005B3EB2">
        <w:rPr>
          <w:noProof/>
        </w:rPr>
        <w:t>e</w:t>
      </w:r>
      <w:r w:rsidR="005B3EB2" w:rsidRPr="00685582">
        <w:rPr>
          <w:noProof/>
        </w:rPr>
        <w:t xml:space="preserve"> requérant</w:t>
      </w:r>
      <w:r w:rsidR="005B3EB2" w:rsidRPr="00685582">
        <w:t xml:space="preserve"> </w:t>
      </w:r>
      <w:r w:rsidR="005B3EB2">
        <w:t>n</w:t>
      </w:r>
      <w:r w:rsidR="00AE1D81">
        <w:t>’</w:t>
      </w:r>
      <w:r w:rsidR="005B3EB2">
        <w:t xml:space="preserve">a formulé aucune </w:t>
      </w:r>
      <w:r w:rsidR="005B3EB2" w:rsidRPr="00685582">
        <w:t xml:space="preserve">demande </w:t>
      </w:r>
      <w:r w:rsidR="005B3EB2">
        <w:t>de remboursement</w:t>
      </w:r>
      <w:r w:rsidR="005B3EB2" w:rsidRPr="00685582">
        <w:t xml:space="preserve"> </w:t>
      </w:r>
      <w:r w:rsidR="005B3EB2">
        <w:t>d</w:t>
      </w:r>
      <w:r w:rsidR="005B3EB2" w:rsidRPr="00685582">
        <w:t>es frais et dépens engagés devant la Cour</w:t>
      </w:r>
      <w:r w:rsidR="005B3EB2">
        <w:t xml:space="preserve"> et/ou devant les juridictions internes</w:t>
      </w:r>
      <w:r w:rsidR="005B3EB2" w:rsidRPr="00685582">
        <w:t>.</w:t>
      </w:r>
      <w:r w:rsidR="005B3EB2">
        <w:t xml:space="preserve"> </w:t>
      </w:r>
      <w:r w:rsidR="005B3EB2" w:rsidRPr="00F22591">
        <w:t>Par conséquent, la Cour considère qu</w:t>
      </w:r>
      <w:r w:rsidR="00AE1D81">
        <w:t>’</w:t>
      </w:r>
      <w:r w:rsidR="005B3EB2" w:rsidRPr="00F22591">
        <w:t>il n</w:t>
      </w:r>
      <w:r w:rsidR="00AE1D81">
        <w:t>’</w:t>
      </w:r>
      <w:r w:rsidR="005B3EB2" w:rsidRPr="00F22591">
        <w:t xml:space="preserve">y a pas lieu de lui allouer </w:t>
      </w:r>
      <w:r w:rsidR="009808A5">
        <w:t>une</w:t>
      </w:r>
      <w:r w:rsidR="009808A5" w:rsidRPr="00F22591">
        <w:t xml:space="preserve"> </w:t>
      </w:r>
      <w:r w:rsidR="005B3EB2" w:rsidRPr="00F22591">
        <w:t>somme à cet égard</w:t>
      </w:r>
      <w:r w:rsidR="005B3EB2">
        <w:t>.</w:t>
      </w:r>
    </w:p>
    <w:p w:rsidR="005B3EB2" w:rsidRPr="00685582" w:rsidRDefault="005B3EB2" w:rsidP="005B3EB2">
      <w:pPr>
        <w:pStyle w:val="ECHRHeading2"/>
        <w:outlineLvl w:val="0"/>
      </w:pPr>
      <w:r w:rsidRPr="00685582">
        <w:t>C.  Intérêts moratoires</w:t>
      </w:r>
    </w:p>
    <w:p w:rsidR="00EC6427" w:rsidRPr="00685582" w:rsidRDefault="00F44484" w:rsidP="00922F45">
      <w:pPr>
        <w:pStyle w:val="ECHRPara"/>
      </w:pPr>
      <w:r>
        <w:fldChar w:fldCharType="begin"/>
      </w:r>
      <w:r>
        <w:instrText xml:space="preserve"> SEQ level0 \*arabic </w:instrText>
      </w:r>
      <w:r>
        <w:fldChar w:fldCharType="separate"/>
      </w:r>
      <w:r>
        <w:rPr>
          <w:noProof/>
        </w:rPr>
        <w:t>62</w:t>
      </w:r>
      <w:r>
        <w:rPr>
          <w:noProof/>
        </w:rPr>
        <w:fldChar w:fldCharType="end"/>
      </w:r>
      <w:r w:rsidR="005B3EB2" w:rsidRPr="00685582">
        <w:t>.  La Cour juge approprié de calquer le taux des intérêts moratoires sur le taux d</w:t>
      </w:r>
      <w:r w:rsidR="00AE1D81">
        <w:t>’</w:t>
      </w:r>
      <w:r w:rsidR="005B3EB2" w:rsidRPr="00685582">
        <w:t>intérêt de la facilité de prêt marginal de la Banque centrale européenne majoré de trois points de pourcentage.</w:t>
      </w:r>
    </w:p>
    <w:p w:rsidR="00EC6427" w:rsidRPr="00685582" w:rsidRDefault="00EC6427" w:rsidP="00B33C50">
      <w:pPr>
        <w:pStyle w:val="ECHRTitle1"/>
      </w:pPr>
      <w:r w:rsidRPr="00685582">
        <w:t>PAR CES MOTIFS, LA COUR</w:t>
      </w:r>
      <w:r w:rsidR="00D81E5B" w:rsidRPr="00685582">
        <w:t>, À L</w:t>
      </w:r>
      <w:r w:rsidR="00AE1D81">
        <w:t>’</w:t>
      </w:r>
      <w:r w:rsidR="00D81E5B" w:rsidRPr="00685582">
        <w:t>UNANIMITÉ,</w:t>
      </w:r>
    </w:p>
    <w:p w:rsidR="00EC6427" w:rsidRPr="00685582" w:rsidRDefault="00EC6427" w:rsidP="009E2D52">
      <w:pPr>
        <w:pStyle w:val="JuList"/>
      </w:pPr>
      <w:r w:rsidRPr="00685582">
        <w:t>1.  </w:t>
      </w:r>
      <w:r w:rsidRPr="00685582">
        <w:rPr>
          <w:i/>
        </w:rPr>
        <w:t>Déclare</w:t>
      </w:r>
      <w:r w:rsidR="00A26256">
        <w:rPr>
          <w:i/>
        </w:rPr>
        <w:t xml:space="preserve"> </w:t>
      </w:r>
      <w:r w:rsidR="00D81E5B" w:rsidRPr="00685582">
        <w:t>la requête recevable</w:t>
      </w:r>
      <w:r w:rsidRPr="00685582">
        <w:t> ;</w:t>
      </w:r>
    </w:p>
    <w:p w:rsidR="00EC6427" w:rsidRPr="00685582" w:rsidRDefault="00EC6427">
      <w:pPr>
        <w:pStyle w:val="JuList"/>
      </w:pPr>
    </w:p>
    <w:p w:rsidR="00EC6427" w:rsidRPr="00685582" w:rsidRDefault="005B3EB2">
      <w:pPr>
        <w:pStyle w:val="JuList"/>
      </w:pPr>
      <w:r>
        <w:t>2</w:t>
      </w:r>
      <w:r w:rsidR="00E168C6" w:rsidRPr="00685582">
        <w:t>.  </w:t>
      </w:r>
      <w:r w:rsidR="00D65AB3" w:rsidRPr="00685582">
        <w:rPr>
          <w:i/>
        </w:rPr>
        <w:t>Dit</w:t>
      </w:r>
      <w:r w:rsidR="00D81E5B" w:rsidRPr="00685582">
        <w:t xml:space="preserve"> </w:t>
      </w:r>
      <w:r w:rsidR="00EC6427" w:rsidRPr="00685582">
        <w:t>qu</w:t>
      </w:r>
      <w:r w:rsidR="00AE1D81">
        <w:t>’</w:t>
      </w:r>
      <w:r w:rsidR="00EC6427" w:rsidRPr="00685582">
        <w:t>il y a eu violation de l</w:t>
      </w:r>
      <w:r w:rsidR="00AE1D81">
        <w:t>’</w:t>
      </w:r>
      <w:r w:rsidR="00EC6427" w:rsidRPr="00685582">
        <w:t xml:space="preserve">article </w:t>
      </w:r>
      <w:r>
        <w:t>6 § 1</w:t>
      </w:r>
      <w:r w:rsidR="00EC6427" w:rsidRPr="00685582">
        <w:t xml:space="preserve"> de la Convention ;</w:t>
      </w:r>
    </w:p>
    <w:p w:rsidR="00EC6427" w:rsidRPr="00685582" w:rsidRDefault="00EC6427">
      <w:pPr>
        <w:pStyle w:val="JuList"/>
      </w:pPr>
    </w:p>
    <w:p w:rsidR="00EC6427" w:rsidRDefault="005B3EB2">
      <w:pPr>
        <w:pStyle w:val="JuList"/>
      </w:pPr>
      <w:r>
        <w:t>3</w:t>
      </w:r>
      <w:r w:rsidR="00EC6427" w:rsidRPr="00685582">
        <w:t>.  </w:t>
      </w:r>
      <w:r w:rsidR="00EC6427" w:rsidRPr="00685582">
        <w:rPr>
          <w:i/>
        </w:rPr>
        <w:t>Dit</w:t>
      </w:r>
      <w:r w:rsidR="00D81E5B" w:rsidRPr="00685582">
        <w:t xml:space="preserve"> </w:t>
      </w:r>
      <w:r w:rsidR="00EC6427" w:rsidRPr="00685582">
        <w:t>qu</w:t>
      </w:r>
      <w:r w:rsidR="00AE1D81">
        <w:t>’</w:t>
      </w:r>
      <w:r w:rsidR="00EC6427" w:rsidRPr="00685582">
        <w:t>il y a eu violation de l</w:t>
      </w:r>
      <w:r w:rsidR="00AE1D81">
        <w:t>’</w:t>
      </w:r>
      <w:r w:rsidR="00EC6427" w:rsidRPr="00685582">
        <w:t xml:space="preserve">article </w:t>
      </w:r>
      <w:r>
        <w:t>14</w:t>
      </w:r>
      <w:r w:rsidR="00EC6427" w:rsidRPr="00685582">
        <w:t xml:space="preserve"> de la Convention</w:t>
      </w:r>
      <w:r>
        <w:t>, combiné avec l</w:t>
      </w:r>
      <w:r w:rsidR="00AE1D81">
        <w:t>’</w:t>
      </w:r>
      <w:r>
        <w:t>article 8</w:t>
      </w:r>
      <w:r w:rsidR="00EC6427" w:rsidRPr="00685582">
        <w:t> ;</w:t>
      </w:r>
    </w:p>
    <w:p w:rsidR="00AE1D81" w:rsidRPr="00685582" w:rsidRDefault="00AE1D81">
      <w:pPr>
        <w:pStyle w:val="JuList"/>
      </w:pPr>
    </w:p>
    <w:p w:rsidR="00EC6427" w:rsidRPr="00685582" w:rsidRDefault="005B3EB2">
      <w:pPr>
        <w:pStyle w:val="JuList"/>
      </w:pPr>
      <w:r>
        <w:t>4</w:t>
      </w:r>
      <w:r w:rsidR="00EC6427" w:rsidRPr="00685582">
        <w:t>.  </w:t>
      </w:r>
      <w:r w:rsidR="00EC6427" w:rsidRPr="00685582">
        <w:rPr>
          <w:i/>
        </w:rPr>
        <w:t>Dit</w:t>
      </w:r>
    </w:p>
    <w:p w:rsidR="00A95CCF" w:rsidRDefault="00EC6427" w:rsidP="005B3EB2">
      <w:pPr>
        <w:pStyle w:val="JuLista"/>
        <w:rPr>
          <w:lang w:eastAsia="en-GB"/>
        </w:rPr>
      </w:pPr>
      <w:r w:rsidRPr="00685582">
        <w:t>a)</w:t>
      </w:r>
      <w:r w:rsidR="00E6035D">
        <w:t xml:space="preserve"> </w:t>
      </w:r>
      <w:r w:rsidRPr="00685582">
        <w:t>que l</w:t>
      </w:r>
      <w:r w:rsidR="00AE1D81">
        <w:t>’</w:t>
      </w:r>
      <w:r w:rsidR="005C3192">
        <w:t>É</w:t>
      </w:r>
      <w:r w:rsidRPr="00685582">
        <w:t xml:space="preserve">tat défendeur doit verser </w:t>
      </w:r>
      <w:r w:rsidR="00D81E5B" w:rsidRPr="00685582">
        <w:t>au requérant</w:t>
      </w:r>
      <w:r w:rsidRPr="00685582">
        <w:t>, dans les trois mois</w:t>
      </w:r>
      <w:r w:rsidR="005B3EB2">
        <w:t xml:space="preserve"> </w:t>
      </w:r>
      <w:r w:rsidR="00D81E5B" w:rsidRPr="00685582">
        <w:t>à compter du jour où l</w:t>
      </w:r>
      <w:r w:rsidR="00AE1D81">
        <w:t>’</w:t>
      </w:r>
      <w:r w:rsidR="00D81E5B" w:rsidRPr="00685582">
        <w:t>arrêt sera devenu définitif conformément à l</w:t>
      </w:r>
      <w:r w:rsidR="00AE1D81">
        <w:t>’</w:t>
      </w:r>
      <w:r w:rsidR="00D81E5B" w:rsidRPr="00685582">
        <w:t>article 44 § 2 de la Convention</w:t>
      </w:r>
      <w:r w:rsidRPr="00685582">
        <w:t>,</w:t>
      </w:r>
      <w:r w:rsidR="0029723C" w:rsidRPr="00685582">
        <w:rPr>
          <w:lang w:eastAsia="en-GB"/>
        </w:rPr>
        <w:t> </w:t>
      </w:r>
      <w:r w:rsidR="00F76EA1">
        <w:rPr>
          <w:lang w:eastAsia="en-GB"/>
        </w:rPr>
        <w:t>les sommes suivantes :</w:t>
      </w:r>
    </w:p>
    <w:p w:rsidR="005E39E1" w:rsidRPr="00685582" w:rsidRDefault="005E39E1" w:rsidP="005E39E1">
      <w:pPr>
        <w:pStyle w:val="JuListi"/>
        <w:rPr>
          <w:lang w:eastAsia="en-GB"/>
        </w:rPr>
      </w:pPr>
      <w:r w:rsidRPr="00685582">
        <w:rPr>
          <w:lang w:eastAsia="en-GB"/>
        </w:rPr>
        <w:t>i)  </w:t>
      </w:r>
      <w:r w:rsidR="005629EA">
        <w:t>9 416,05</w:t>
      </w:r>
      <w:r w:rsidR="00E6035D">
        <w:rPr>
          <w:lang w:eastAsia="en-GB"/>
        </w:rPr>
        <w:t> </w:t>
      </w:r>
      <w:r w:rsidRPr="00685582">
        <w:rPr>
          <w:lang w:eastAsia="en-GB"/>
        </w:rPr>
        <w:t>EUR (</w:t>
      </w:r>
      <w:r w:rsidR="005629EA">
        <w:rPr>
          <w:lang w:eastAsia="en-GB"/>
        </w:rPr>
        <w:t xml:space="preserve">neuf </w:t>
      </w:r>
      <w:r>
        <w:rPr>
          <w:lang w:eastAsia="en-GB"/>
        </w:rPr>
        <w:t xml:space="preserve">mille </w:t>
      </w:r>
      <w:r w:rsidR="005629EA">
        <w:rPr>
          <w:lang w:eastAsia="en-GB"/>
        </w:rPr>
        <w:t xml:space="preserve">quatre cent </w:t>
      </w:r>
      <w:r>
        <w:rPr>
          <w:lang w:eastAsia="en-GB"/>
        </w:rPr>
        <w:t>seize</w:t>
      </w:r>
      <w:r w:rsidRPr="00685582">
        <w:rPr>
          <w:lang w:eastAsia="en-GB"/>
        </w:rPr>
        <w:t xml:space="preserve"> euros</w:t>
      </w:r>
      <w:r>
        <w:rPr>
          <w:lang w:eastAsia="en-GB"/>
        </w:rPr>
        <w:t xml:space="preserve"> et cinq centimes</w:t>
      </w:r>
      <w:r w:rsidRPr="00685582">
        <w:rPr>
          <w:lang w:eastAsia="en-GB"/>
        </w:rPr>
        <w:t>) pour dommage matériel ;</w:t>
      </w:r>
    </w:p>
    <w:p w:rsidR="005E39E1" w:rsidRPr="00685582" w:rsidRDefault="005E39E1" w:rsidP="005E39E1">
      <w:pPr>
        <w:pStyle w:val="JuListi"/>
        <w:rPr>
          <w:lang w:eastAsia="en-GB"/>
        </w:rPr>
      </w:pPr>
      <w:r w:rsidRPr="00685582">
        <w:rPr>
          <w:lang w:eastAsia="en-GB"/>
        </w:rPr>
        <w:t>ii)  </w:t>
      </w:r>
      <w:r>
        <w:rPr>
          <w:lang w:eastAsia="en-GB"/>
        </w:rPr>
        <w:t>10 000</w:t>
      </w:r>
      <w:r w:rsidR="00E6035D">
        <w:rPr>
          <w:lang w:eastAsia="en-GB"/>
        </w:rPr>
        <w:t> </w:t>
      </w:r>
      <w:r w:rsidRPr="00685582">
        <w:rPr>
          <w:lang w:eastAsia="en-GB"/>
        </w:rPr>
        <w:t>EUR (</w:t>
      </w:r>
      <w:r>
        <w:rPr>
          <w:lang w:eastAsia="en-GB"/>
        </w:rPr>
        <w:t xml:space="preserve">dix </w:t>
      </w:r>
      <w:r w:rsidR="00494CEB">
        <w:rPr>
          <w:lang w:eastAsia="en-GB"/>
        </w:rPr>
        <w:t>mille</w:t>
      </w:r>
      <w:r w:rsidRPr="00685582">
        <w:rPr>
          <w:lang w:eastAsia="en-GB"/>
        </w:rPr>
        <w:t xml:space="preserve"> euros), plus tout montant pouvant être dû à titre d</w:t>
      </w:r>
      <w:r w:rsidR="00AE1D81">
        <w:rPr>
          <w:lang w:eastAsia="en-GB"/>
        </w:rPr>
        <w:t>’</w:t>
      </w:r>
      <w:r w:rsidRPr="00685582">
        <w:rPr>
          <w:lang w:eastAsia="en-GB"/>
        </w:rPr>
        <w:t>impôt, pour dommage moral ;</w:t>
      </w:r>
    </w:p>
    <w:p w:rsidR="00EC6427" w:rsidRPr="00685582" w:rsidRDefault="00EC6427">
      <w:pPr>
        <w:pStyle w:val="JuLista"/>
      </w:pPr>
      <w:r w:rsidRPr="00685582">
        <w:t>b)  qu</w:t>
      </w:r>
      <w:r w:rsidR="00AE1D81">
        <w:t>’</w:t>
      </w:r>
      <w:r w:rsidRPr="00685582">
        <w:t>à compter de l</w:t>
      </w:r>
      <w:r w:rsidR="00AE1D81">
        <w:t>’</w:t>
      </w:r>
      <w:r w:rsidRPr="00685582">
        <w:t>expiration dudit délai et jusqu</w:t>
      </w:r>
      <w:r w:rsidR="00AE1D81">
        <w:t>’</w:t>
      </w:r>
      <w:r w:rsidRPr="00685582">
        <w:t>au versement, ces montan</w:t>
      </w:r>
      <w:r w:rsidR="0029723C" w:rsidRPr="00685582">
        <w:t>t</w:t>
      </w:r>
      <w:r w:rsidRPr="00685582">
        <w:t>s</w:t>
      </w:r>
      <w:r w:rsidR="0029723C" w:rsidRPr="00685582">
        <w:t xml:space="preserve"> ser</w:t>
      </w:r>
      <w:r w:rsidRPr="00685582">
        <w:t>ont à majorer d</w:t>
      </w:r>
      <w:r w:rsidR="00AE1D81">
        <w:t>’</w:t>
      </w:r>
      <w:r w:rsidRPr="00685582">
        <w:t>un intérêt simple à un taux égal à celui de la facilité de prêt marginal de la Banque centrale européenne applicable pendant cette période, augmenté de trois points de pourcentage ;</w:t>
      </w:r>
    </w:p>
    <w:p w:rsidR="00EC6427" w:rsidRPr="00685582" w:rsidRDefault="00EC6427">
      <w:pPr>
        <w:pStyle w:val="JuLista"/>
      </w:pPr>
    </w:p>
    <w:p w:rsidR="00EC6427" w:rsidRPr="00685582" w:rsidRDefault="005B3EB2">
      <w:pPr>
        <w:pStyle w:val="JuList"/>
      </w:pPr>
      <w:r>
        <w:t>5</w:t>
      </w:r>
      <w:r w:rsidR="00EC6427" w:rsidRPr="00685582">
        <w:t>.  </w:t>
      </w:r>
      <w:r w:rsidR="00EC6427" w:rsidRPr="00685582">
        <w:rPr>
          <w:i/>
        </w:rPr>
        <w:t>Rejette</w:t>
      </w:r>
      <w:r w:rsidR="00EC6427" w:rsidRPr="00685582">
        <w:t xml:space="preserve"> la demande de satisfaction équitable pour le surplus.</w:t>
      </w:r>
    </w:p>
    <w:p w:rsidR="00560B55" w:rsidRPr="00685582" w:rsidRDefault="00EC6427" w:rsidP="00560B55">
      <w:pPr>
        <w:pStyle w:val="JuParaLast"/>
      </w:pPr>
      <w:r w:rsidRPr="00685582">
        <w:t>Fait en françai</w:t>
      </w:r>
      <w:r w:rsidR="00D76AAA">
        <w:t xml:space="preserve">s, puis communiqué par écrit le </w:t>
      </w:r>
      <w:r w:rsidR="00A26256">
        <w:t>8 avril 2014</w:t>
      </w:r>
      <w:r w:rsidR="0053642D" w:rsidRPr="00685582">
        <w:t>,</w:t>
      </w:r>
      <w:r w:rsidRPr="00685582">
        <w:t xml:space="preserve"> en application de l</w:t>
      </w:r>
      <w:r w:rsidR="00AE1D81">
        <w:t>’</w:t>
      </w:r>
      <w:r w:rsidRPr="00685582">
        <w:t>article 77 §§ 2 et 3 du règlement.</w:t>
      </w:r>
    </w:p>
    <w:p w:rsidR="00EC6427" w:rsidRPr="00685582" w:rsidRDefault="00D81E5B" w:rsidP="0009234F">
      <w:pPr>
        <w:pStyle w:val="JuSigned"/>
        <w:keepNext/>
        <w:keepLines/>
      </w:pPr>
      <w:r w:rsidRPr="00685582">
        <w:tab/>
      </w:r>
      <w:r>
        <w:t>Stanley</w:t>
      </w:r>
      <w:r w:rsidRPr="00685582">
        <w:t xml:space="preserve"> </w:t>
      </w:r>
      <w:r>
        <w:t>Naismith</w:t>
      </w:r>
      <w:r w:rsidR="004C7DF5" w:rsidRPr="00685582">
        <w:tab/>
      </w:r>
      <w:r>
        <w:rPr>
          <w:szCs w:val="24"/>
        </w:rPr>
        <w:t>Işıl</w:t>
      </w:r>
      <w:r w:rsidRPr="00AB67FF">
        <w:rPr>
          <w:szCs w:val="24"/>
        </w:rPr>
        <w:t xml:space="preserve"> </w:t>
      </w:r>
      <w:r>
        <w:rPr>
          <w:szCs w:val="24"/>
        </w:rPr>
        <w:t>Karakaş</w:t>
      </w:r>
      <w:r w:rsidR="004C7DF5" w:rsidRPr="00685582">
        <w:br/>
      </w:r>
      <w:r w:rsidR="004C7DF5" w:rsidRPr="00685582">
        <w:tab/>
      </w:r>
      <w:r w:rsidRPr="00685582">
        <w:t>Greffier</w:t>
      </w:r>
      <w:r w:rsidR="004C7DF5" w:rsidRPr="00685582">
        <w:tab/>
      </w:r>
      <w:r w:rsidRPr="00AB67FF">
        <w:t>Présidente</w:t>
      </w:r>
    </w:p>
    <w:sectPr w:rsidR="00EC6427" w:rsidRPr="00685582" w:rsidSect="003A42BF">
      <w:headerReference w:type="even" r:id="rId15"/>
      <w:headerReference w:type="default" r:id="rId16"/>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2BF" w:rsidRDefault="003A42BF">
      <w:r>
        <w:separator/>
      </w:r>
    </w:p>
  </w:endnote>
  <w:endnote w:type="continuationSeparator" w:id="0">
    <w:p w:rsidR="003A42BF" w:rsidRDefault="003A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2BF" w:rsidRDefault="003A42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2BF" w:rsidRDefault="003A42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2BF" w:rsidRPr="00150BFA" w:rsidRDefault="003A42BF" w:rsidP="003A42BF">
    <w:pPr>
      <w:jc w:val="center"/>
    </w:pPr>
    <w:r>
      <w:rPr>
        <w:noProof/>
        <w:lang w:val="en-US" w:eastAsia="ja-JP"/>
      </w:rPr>
      <w:drawing>
        <wp:inline distT="0" distB="0" distL="0" distR="0" wp14:anchorId="22749B21" wp14:editId="6E7000E6">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3A42BF" w:rsidRDefault="003A4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2BF" w:rsidRDefault="003A42BF">
      <w:r>
        <w:separator/>
      </w:r>
    </w:p>
  </w:footnote>
  <w:footnote w:type="continuationSeparator" w:id="0">
    <w:p w:rsidR="003A42BF" w:rsidRDefault="003A42BF">
      <w:r>
        <w:continuationSeparator/>
      </w:r>
    </w:p>
  </w:footnote>
  <w:footnote w:id="1">
    <w:p w:rsidR="003A42BF" w:rsidRPr="005629EA" w:rsidRDefault="003A42BF">
      <w:pPr>
        <w:pStyle w:val="FootnoteText"/>
      </w:pPr>
      <w:r>
        <w:rPr>
          <w:rStyle w:val="FootnoteReference"/>
        </w:rPr>
        <w:footnoteRef/>
      </w:r>
      <w:r w:rsidRPr="005629EA">
        <w:t xml:space="preserve"> Dans la version italienne du texte</w:t>
      </w:r>
      <w:r>
        <w:t> </w:t>
      </w:r>
      <w:r w:rsidRPr="005629EA">
        <w:t xml:space="preserve">: </w:t>
      </w:r>
      <w:r>
        <w:rPr>
          <w:i/>
        </w:rPr>
        <w:t>« p</w:t>
      </w:r>
      <w:r w:rsidRPr="00F95192">
        <w:rPr>
          <w:i/>
        </w:rPr>
        <w:t xml:space="preserve">revidenza </w:t>
      </w:r>
      <w:r>
        <w:rPr>
          <w:i/>
        </w:rPr>
        <w:t>s</w:t>
      </w:r>
      <w:r w:rsidRPr="005629EA">
        <w:rPr>
          <w:i/>
        </w:rPr>
        <w:t>ociale</w:t>
      </w:r>
      <w:r>
        <w:rPr>
          <w:i/>
        </w:rPr>
        <w:t> »</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2BF" w:rsidRDefault="003A42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2BF" w:rsidRPr="003A42BF" w:rsidRDefault="003A42BF" w:rsidP="003A42B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2BF" w:rsidRPr="00A45145" w:rsidRDefault="003A42BF" w:rsidP="003A42BF">
    <w:pPr>
      <w:jc w:val="center"/>
    </w:pPr>
    <w:r>
      <w:rPr>
        <w:noProof/>
        <w:lang w:val="en-US" w:eastAsia="ja-JP"/>
      </w:rPr>
      <w:drawing>
        <wp:inline distT="0" distB="0" distL="0" distR="0" wp14:anchorId="0C1E1D83" wp14:editId="7A5ED093">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3A42BF" w:rsidRDefault="003A42BF" w:rsidP="00946BFB">
    <w:pPr>
      <w:pStyle w:val="ECHR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2BF" w:rsidRPr="00DE593D" w:rsidRDefault="003A42BF" w:rsidP="00946BFB">
    <w:pPr>
      <w:pStyle w:val="ECHRHeader"/>
    </w:pPr>
    <w:r>
      <w:rPr>
        <w:rStyle w:val="PageNumber"/>
      </w:rPr>
      <w:fldChar w:fldCharType="begin"/>
    </w:r>
    <w:r>
      <w:rPr>
        <w:rStyle w:val="PageNumber"/>
      </w:rPr>
      <w:instrText xml:space="preserve"> PAGE </w:instrText>
    </w:r>
    <w:r>
      <w:rPr>
        <w:rStyle w:val="PageNumber"/>
      </w:rPr>
      <w:fldChar w:fldCharType="separate"/>
    </w:r>
    <w:r w:rsidR="00F44484">
      <w:rPr>
        <w:rStyle w:val="PageNumber"/>
        <w:noProof/>
      </w:rPr>
      <w:t>9</w:t>
    </w:r>
    <w:r>
      <w:rPr>
        <w:rStyle w:val="PageNumber"/>
      </w:rPr>
      <w:fldChar w:fldCharType="end"/>
    </w:r>
    <w:r w:rsidRPr="00DE593D">
      <w:rPr>
        <w:rStyle w:val="PageNumber"/>
      </w:rPr>
      <w:tab/>
    </w:r>
    <w:r>
      <w:rPr>
        <w:noProof/>
        <w:lang w:val="en-GB"/>
      </w:rPr>
      <w:t>ARRÊT</w:t>
    </w:r>
    <w:r w:rsidRPr="00DE593D">
      <w:t xml:space="preserve"> </w:t>
    </w:r>
    <w:r>
      <w:t>DHAHBI c. ITALIE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2BF" w:rsidRPr="00DE593D" w:rsidRDefault="003A42BF" w:rsidP="00946BFB">
    <w:pPr>
      <w:pStyle w:val="ECHRHeader"/>
    </w:pPr>
    <w:r>
      <w:tab/>
    </w:r>
    <w:r>
      <w:rPr>
        <w:noProof/>
        <w:lang w:val="en-GB"/>
      </w:rPr>
      <w:t>ARRÊT</w:t>
    </w:r>
    <w:r w:rsidRPr="00DE593D">
      <w:t xml:space="preserve"> </w:t>
    </w:r>
    <w:r>
      <w:t>DHAHBI c. ITALIE</w:t>
    </w:r>
    <w:r w:rsidRPr="00DE593D">
      <w:tab/>
    </w:r>
    <w:r>
      <w:rPr>
        <w:rStyle w:val="PageNumber"/>
      </w:rPr>
      <w:fldChar w:fldCharType="begin"/>
    </w:r>
    <w:r>
      <w:rPr>
        <w:rStyle w:val="PageNumber"/>
      </w:rPr>
      <w:instrText xml:space="preserve"> PAGE </w:instrText>
    </w:r>
    <w:r>
      <w:rPr>
        <w:rStyle w:val="PageNumber"/>
      </w:rPr>
      <w:fldChar w:fldCharType="separate"/>
    </w:r>
    <w:r w:rsidR="00F44484">
      <w:rPr>
        <w:rStyle w:val="PageNumber"/>
        <w:noProof/>
      </w:rPr>
      <w:t>9</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B2DD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9F036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7673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C03E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1AC39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E2683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1EE78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6B0B5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621AB6"/>
    <w:lvl w:ilvl="0">
      <w:start w:val="1"/>
      <w:numFmt w:val="decimal"/>
      <w:pStyle w:val="ListNumber"/>
      <w:lvlText w:val="%1."/>
      <w:lvlJc w:val="left"/>
      <w:pPr>
        <w:tabs>
          <w:tab w:val="num" w:pos="360"/>
        </w:tabs>
        <w:ind w:left="360" w:hanging="360"/>
      </w:pPr>
    </w:lvl>
  </w:abstractNum>
  <w:abstractNum w:abstractNumId="9">
    <w:nsid w:val="FFFFFF89"/>
    <w:multiLevelType w:val="singleLevel"/>
    <w:tmpl w:val="6CDA51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8750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7063F06"/>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65D7306C"/>
    <w:multiLevelType w:val="multilevel"/>
    <w:tmpl w:val="08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nsid w:val="7BBE6CBD"/>
    <w:multiLevelType w:val="hybridMultilevel"/>
    <w:tmpl w:val="5B122094"/>
    <w:lvl w:ilvl="0" w:tplc="4FDAD2AA">
      <w:start w:val="1"/>
      <w:numFmt w:val="decimal"/>
      <w:pStyle w:val="Ju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activeWritingStyle w:appName="MSWord" w:lang="fr-FR" w:vendorID="9" w:dllVersion="512" w:checkStyle="1"/>
  <w:activeWritingStyle w:appName="MSWord" w:lang="sv-SE" w:vendorID="0" w:dllVersion="512" w:checkStyle="1"/>
  <w:activeWritingStyle w:appName="MSWord" w:lang="pt-PT" w:vendorID="13" w:dllVersion="513" w:checkStyle="1"/>
  <w:activeWritingStyle w:appName="MSWord" w:lang="sv-SE" w:vendorID="666" w:dllVersion="513" w:checkStyle="1"/>
  <w:activeWritingStyle w:appName="MSWord" w:lang="fi-FI" w:vendorID="666" w:dllVersion="513" w:checkStyle="1"/>
  <w:activeWritingStyle w:appName="MSWord" w:lang="fi-FI" w:vendorID="22" w:dllVersion="513" w:checkStyle="1"/>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defaultTabStop w:val="706"/>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D81E5B"/>
    <w:rsid w:val="00000A8E"/>
    <w:rsid w:val="00006607"/>
    <w:rsid w:val="0000732D"/>
    <w:rsid w:val="0001493E"/>
    <w:rsid w:val="000220EA"/>
    <w:rsid w:val="00023684"/>
    <w:rsid w:val="00027D01"/>
    <w:rsid w:val="0003067A"/>
    <w:rsid w:val="000346B8"/>
    <w:rsid w:val="00034B42"/>
    <w:rsid w:val="000372C9"/>
    <w:rsid w:val="00042DCF"/>
    <w:rsid w:val="00060909"/>
    <w:rsid w:val="00072E60"/>
    <w:rsid w:val="000739D2"/>
    <w:rsid w:val="00075215"/>
    <w:rsid w:val="00076451"/>
    <w:rsid w:val="000878AC"/>
    <w:rsid w:val="0009173E"/>
    <w:rsid w:val="0009234F"/>
    <w:rsid w:val="00093432"/>
    <w:rsid w:val="0009497E"/>
    <w:rsid w:val="0009631E"/>
    <w:rsid w:val="0009688D"/>
    <w:rsid w:val="000A1ADF"/>
    <w:rsid w:val="000A3D31"/>
    <w:rsid w:val="000A4F27"/>
    <w:rsid w:val="000A72EE"/>
    <w:rsid w:val="000B006B"/>
    <w:rsid w:val="000B3205"/>
    <w:rsid w:val="000B7194"/>
    <w:rsid w:val="000C4043"/>
    <w:rsid w:val="000D6013"/>
    <w:rsid w:val="000D6612"/>
    <w:rsid w:val="000E2985"/>
    <w:rsid w:val="000E3C7F"/>
    <w:rsid w:val="000E4D02"/>
    <w:rsid w:val="000E5878"/>
    <w:rsid w:val="000E78C7"/>
    <w:rsid w:val="000F08D4"/>
    <w:rsid w:val="00124A3F"/>
    <w:rsid w:val="00126687"/>
    <w:rsid w:val="001352AA"/>
    <w:rsid w:val="00142DF7"/>
    <w:rsid w:val="00143C2E"/>
    <w:rsid w:val="00147398"/>
    <w:rsid w:val="00150742"/>
    <w:rsid w:val="001524AA"/>
    <w:rsid w:val="001542F3"/>
    <w:rsid w:val="001670B9"/>
    <w:rsid w:val="00172CF0"/>
    <w:rsid w:val="001752B0"/>
    <w:rsid w:val="00177D96"/>
    <w:rsid w:val="00180C7C"/>
    <w:rsid w:val="00180FFE"/>
    <w:rsid w:val="00182A9F"/>
    <w:rsid w:val="0018449E"/>
    <w:rsid w:val="00184E3A"/>
    <w:rsid w:val="00196E64"/>
    <w:rsid w:val="001A1237"/>
    <w:rsid w:val="001D5F5C"/>
    <w:rsid w:val="001F04DE"/>
    <w:rsid w:val="001F48D8"/>
    <w:rsid w:val="001F6022"/>
    <w:rsid w:val="001F6681"/>
    <w:rsid w:val="00206868"/>
    <w:rsid w:val="00207248"/>
    <w:rsid w:val="00211F5F"/>
    <w:rsid w:val="00213C0C"/>
    <w:rsid w:val="002141B9"/>
    <w:rsid w:val="00215272"/>
    <w:rsid w:val="00215C23"/>
    <w:rsid w:val="00220C1C"/>
    <w:rsid w:val="00221D16"/>
    <w:rsid w:val="0023375B"/>
    <w:rsid w:val="00236C5E"/>
    <w:rsid w:val="00240E1A"/>
    <w:rsid w:val="00247DD7"/>
    <w:rsid w:val="00263561"/>
    <w:rsid w:val="00274199"/>
    <w:rsid w:val="002754E8"/>
    <w:rsid w:val="00275892"/>
    <w:rsid w:val="0028033B"/>
    <w:rsid w:val="00282023"/>
    <w:rsid w:val="002821AD"/>
    <w:rsid w:val="002846DA"/>
    <w:rsid w:val="00284C80"/>
    <w:rsid w:val="0028541F"/>
    <w:rsid w:val="00287191"/>
    <w:rsid w:val="002921BB"/>
    <w:rsid w:val="0029723C"/>
    <w:rsid w:val="00297B54"/>
    <w:rsid w:val="002A1B5F"/>
    <w:rsid w:val="002A27EC"/>
    <w:rsid w:val="002A33CB"/>
    <w:rsid w:val="002B015F"/>
    <w:rsid w:val="002D020E"/>
    <w:rsid w:val="002D515F"/>
    <w:rsid w:val="002E4237"/>
    <w:rsid w:val="002F1CE6"/>
    <w:rsid w:val="0030487C"/>
    <w:rsid w:val="00305449"/>
    <w:rsid w:val="00327411"/>
    <w:rsid w:val="003306D4"/>
    <w:rsid w:val="0033610E"/>
    <w:rsid w:val="0033735E"/>
    <w:rsid w:val="003407D0"/>
    <w:rsid w:val="00341552"/>
    <w:rsid w:val="003476E3"/>
    <w:rsid w:val="00350960"/>
    <w:rsid w:val="00353314"/>
    <w:rsid w:val="00354002"/>
    <w:rsid w:val="00360C14"/>
    <w:rsid w:val="00361E13"/>
    <w:rsid w:val="00362D1F"/>
    <w:rsid w:val="00370701"/>
    <w:rsid w:val="003778BA"/>
    <w:rsid w:val="00381E02"/>
    <w:rsid w:val="003835A5"/>
    <w:rsid w:val="00383CB7"/>
    <w:rsid w:val="00386B91"/>
    <w:rsid w:val="00387F24"/>
    <w:rsid w:val="003925CE"/>
    <w:rsid w:val="00392E3B"/>
    <w:rsid w:val="00394496"/>
    <w:rsid w:val="00395221"/>
    <w:rsid w:val="003A09B2"/>
    <w:rsid w:val="003A42BF"/>
    <w:rsid w:val="003A5467"/>
    <w:rsid w:val="003B0567"/>
    <w:rsid w:val="003B61BC"/>
    <w:rsid w:val="003B6855"/>
    <w:rsid w:val="003C1570"/>
    <w:rsid w:val="003C2518"/>
    <w:rsid w:val="003D2870"/>
    <w:rsid w:val="003E2D42"/>
    <w:rsid w:val="003E78B3"/>
    <w:rsid w:val="0040106E"/>
    <w:rsid w:val="0040252B"/>
    <w:rsid w:val="00402F19"/>
    <w:rsid w:val="0040406E"/>
    <w:rsid w:val="004079E9"/>
    <w:rsid w:val="00411421"/>
    <w:rsid w:val="00416D48"/>
    <w:rsid w:val="004219F0"/>
    <w:rsid w:val="004254D5"/>
    <w:rsid w:val="00425BF9"/>
    <w:rsid w:val="0043151B"/>
    <w:rsid w:val="00437596"/>
    <w:rsid w:val="00442FA9"/>
    <w:rsid w:val="00445E54"/>
    <w:rsid w:val="004563AF"/>
    <w:rsid w:val="004653D9"/>
    <w:rsid w:val="0046778E"/>
    <w:rsid w:val="004702BA"/>
    <w:rsid w:val="004734A5"/>
    <w:rsid w:val="004736D2"/>
    <w:rsid w:val="00475AE5"/>
    <w:rsid w:val="00486CD2"/>
    <w:rsid w:val="004930AD"/>
    <w:rsid w:val="004932DA"/>
    <w:rsid w:val="00494CEB"/>
    <w:rsid w:val="004A01A3"/>
    <w:rsid w:val="004A0F1E"/>
    <w:rsid w:val="004C61A7"/>
    <w:rsid w:val="004C691A"/>
    <w:rsid w:val="004C6FFD"/>
    <w:rsid w:val="004C7DF5"/>
    <w:rsid w:val="004E3393"/>
    <w:rsid w:val="004E4552"/>
    <w:rsid w:val="004E63CA"/>
    <w:rsid w:val="004F404D"/>
    <w:rsid w:val="004F68A7"/>
    <w:rsid w:val="005135BD"/>
    <w:rsid w:val="0052605E"/>
    <w:rsid w:val="00527D18"/>
    <w:rsid w:val="005319B5"/>
    <w:rsid w:val="00535BE5"/>
    <w:rsid w:val="0053642D"/>
    <w:rsid w:val="005445AA"/>
    <w:rsid w:val="00547237"/>
    <w:rsid w:val="005501DA"/>
    <w:rsid w:val="00560B55"/>
    <w:rsid w:val="00561AFB"/>
    <w:rsid w:val="005629EA"/>
    <w:rsid w:val="005634F3"/>
    <w:rsid w:val="0056464A"/>
    <w:rsid w:val="0057103A"/>
    <w:rsid w:val="005737E4"/>
    <w:rsid w:val="005740C2"/>
    <w:rsid w:val="005801E1"/>
    <w:rsid w:val="0059350F"/>
    <w:rsid w:val="005B321C"/>
    <w:rsid w:val="005B3EB2"/>
    <w:rsid w:val="005B51DE"/>
    <w:rsid w:val="005B7AAF"/>
    <w:rsid w:val="005C3192"/>
    <w:rsid w:val="005E1B0C"/>
    <w:rsid w:val="005E39E1"/>
    <w:rsid w:val="005E7568"/>
    <w:rsid w:val="005E79EB"/>
    <w:rsid w:val="005F2CB3"/>
    <w:rsid w:val="005F3B1C"/>
    <w:rsid w:val="005F43E1"/>
    <w:rsid w:val="00604DD9"/>
    <w:rsid w:val="0061049D"/>
    <w:rsid w:val="00612896"/>
    <w:rsid w:val="00616140"/>
    <w:rsid w:val="00620817"/>
    <w:rsid w:val="006208CF"/>
    <w:rsid w:val="00626255"/>
    <w:rsid w:val="006419FC"/>
    <w:rsid w:val="0064438C"/>
    <w:rsid w:val="00645BD9"/>
    <w:rsid w:val="00662B64"/>
    <w:rsid w:val="006716C1"/>
    <w:rsid w:val="0068104D"/>
    <w:rsid w:val="00685582"/>
    <w:rsid w:val="00693A1D"/>
    <w:rsid w:val="00694356"/>
    <w:rsid w:val="0069719D"/>
    <w:rsid w:val="006A05A8"/>
    <w:rsid w:val="006A0F1E"/>
    <w:rsid w:val="006A1ADE"/>
    <w:rsid w:val="006A1F0E"/>
    <w:rsid w:val="006A5686"/>
    <w:rsid w:val="006B1877"/>
    <w:rsid w:val="006B1C83"/>
    <w:rsid w:val="006B3663"/>
    <w:rsid w:val="006B72C2"/>
    <w:rsid w:val="006E10B7"/>
    <w:rsid w:val="006E30BD"/>
    <w:rsid w:val="006E3C39"/>
    <w:rsid w:val="006F005A"/>
    <w:rsid w:val="006F5289"/>
    <w:rsid w:val="00701171"/>
    <w:rsid w:val="007028E0"/>
    <w:rsid w:val="00710681"/>
    <w:rsid w:val="00721859"/>
    <w:rsid w:val="00722806"/>
    <w:rsid w:val="007243BD"/>
    <w:rsid w:val="007357D0"/>
    <w:rsid w:val="007400F3"/>
    <w:rsid w:val="007420D9"/>
    <w:rsid w:val="007420E9"/>
    <w:rsid w:val="007431D4"/>
    <w:rsid w:val="0074328F"/>
    <w:rsid w:val="00752D87"/>
    <w:rsid w:val="007544FE"/>
    <w:rsid w:val="00755392"/>
    <w:rsid w:val="0077322C"/>
    <w:rsid w:val="00776FE8"/>
    <w:rsid w:val="0077792A"/>
    <w:rsid w:val="0078054A"/>
    <w:rsid w:val="00780F3B"/>
    <w:rsid w:val="00781B87"/>
    <w:rsid w:val="007864E1"/>
    <w:rsid w:val="00790C2C"/>
    <w:rsid w:val="00795176"/>
    <w:rsid w:val="007A087B"/>
    <w:rsid w:val="007A1711"/>
    <w:rsid w:val="007A181F"/>
    <w:rsid w:val="007A52A8"/>
    <w:rsid w:val="007B0925"/>
    <w:rsid w:val="007B6173"/>
    <w:rsid w:val="007C1EF3"/>
    <w:rsid w:val="007C53BC"/>
    <w:rsid w:val="007D5A77"/>
    <w:rsid w:val="007D7F7A"/>
    <w:rsid w:val="007E3337"/>
    <w:rsid w:val="007E34C8"/>
    <w:rsid w:val="007F6A42"/>
    <w:rsid w:val="00800CCB"/>
    <w:rsid w:val="00803644"/>
    <w:rsid w:val="00810868"/>
    <w:rsid w:val="00810883"/>
    <w:rsid w:val="00811D17"/>
    <w:rsid w:val="00830036"/>
    <w:rsid w:val="00842B6E"/>
    <w:rsid w:val="00843F37"/>
    <w:rsid w:val="0084755E"/>
    <w:rsid w:val="00851756"/>
    <w:rsid w:val="00867E82"/>
    <w:rsid w:val="0088729A"/>
    <w:rsid w:val="0089356C"/>
    <w:rsid w:val="008A0122"/>
    <w:rsid w:val="008B07E5"/>
    <w:rsid w:val="008B458A"/>
    <w:rsid w:val="008B6085"/>
    <w:rsid w:val="008C4833"/>
    <w:rsid w:val="008C6E3C"/>
    <w:rsid w:val="008C7FEF"/>
    <w:rsid w:val="008D4ECE"/>
    <w:rsid w:val="008D61D1"/>
    <w:rsid w:val="008E56E5"/>
    <w:rsid w:val="008F1891"/>
    <w:rsid w:val="008F1D67"/>
    <w:rsid w:val="008F39FB"/>
    <w:rsid w:val="0090220E"/>
    <w:rsid w:val="00904F8D"/>
    <w:rsid w:val="009134FC"/>
    <w:rsid w:val="0092156A"/>
    <w:rsid w:val="00921A3B"/>
    <w:rsid w:val="00921AD8"/>
    <w:rsid w:val="00922F45"/>
    <w:rsid w:val="009260DF"/>
    <w:rsid w:val="00934435"/>
    <w:rsid w:val="00934E38"/>
    <w:rsid w:val="00936877"/>
    <w:rsid w:val="00942EF5"/>
    <w:rsid w:val="00946BFB"/>
    <w:rsid w:val="00956C5C"/>
    <w:rsid w:val="00960112"/>
    <w:rsid w:val="0097360D"/>
    <w:rsid w:val="00973C75"/>
    <w:rsid w:val="009808A5"/>
    <w:rsid w:val="00980BEB"/>
    <w:rsid w:val="00981977"/>
    <w:rsid w:val="00981F73"/>
    <w:rsid w:val="0098669E"/>
    <w:rsid w:val="00991EBF"/>
    <w:rsid w:val="00995968"/>
    <w:rsid w:val="009A0361"/>
    <w:rsid w:val="009A0A09"/>
    <w:rsid w:val="009B2961"/>
    <w:rsid w:val="009B58D1"/>
    <w:rsid w:val="009C0666"/>
    <w:rsid w:val="009C1366"/>
    <w:rsid w:val="009C7F32"/>
    <w:rsid w:val="009D29DE"/>
    <w:rsid w:val="009E2D52"/>
    <w:rsid w:val="009F03E7"/>
    <w:rsid w:val="009F28A8"/>
    <w:rsid w:val="009F7286"/>
    <w:rsid w:val="00A0583F"/>
    <w:rsid w:val="00A1080F"/>
    <w:rsid w:val="00A1092F"/>
    <w:rsid w:val="00A211C8"/>
    <w:rsid w:val="00A25761"/>
    <w:rsid w:val="00A26256"/>
    <w:rsid w:val="00A3364A"/>
    <w:rsid w:val="00A41F11"/>
    <w:rsid w:val="00A46BA1"/>
    <w:rsid w:val="00A52634"/>
    <w:rsid w:val="00A53F42"/>
    <w:rsid w:val="00A639EF"/>
    <w:rsid w:val="00A77361"/>
    <w:rsid w:val="00A77DDC"/>
    <w:rsid w:val="00A82B77"/>
    <w:rsid w:val="00A82BD8"/>
    <w:rsid w:val="00A82E6D"/>
    <w:rsid w:val="00A91831"/>
    <w:rsid w:val="00A91B4D"/>
    <w:rsid w:val="00A92E1F"/>
    <w:rsid w:val="00A9364D"/>
    <w:rsid w:val="00A93D51"/>
    <w:rsid w:val="00A942FA"/>
    <w:rsid w:val="00A95CCF"/>
    <w:rsid w:val="00A96DB0"/>
    <w:rsid w:val="00A97C83"/>
    <w:rsid w:val="00AB1C94"/>
    <w:rsid w:val="00AB67FF"/>
    <w:rsid w:val="00AC0C2E"/>
    <w:rsid w:val="00AC15ED"/>
    <w:rsid w:val="00AC203B"/>
    <w:rsid w:val="00AC41B1"/>
    <w:rsid w:val="00AC5425"/>
    <w:rsid w:val="00AC6A5F"/>
    <w:rsid w:val="00AD3301"/>
    <w:rsid w:val="00AD340B"/>
    <w:rsid w:val="00AD708C"/>
    <w:rsid w:val="00AD71DC"/>
    <w:rsid w:val="00AE1D81"/>
    <w:rsid w:val="00AF06F1"/>
    <w:rsid w:val="00AF4E21"/>
    <w:rsid w:val="00B042DE"/>
    <w:rsid w:val="00B04694"/>
    <w:rsid w:val="00B0698E"/>
    <w:rsid w:val="00B16F7F"/>
    <w:rsid w:val="00B17F2F"/>
    <w:rsid w:val="00B20588"/>
    <w:rsid w:val="00B33C50"/>
    <w:rsid w:val="00B35417"/>
    <w:rsid w:val="00B47FDF"/>
    <w:rsid w:val="00B62D7C"/>
    <w:rsid w:val="00B65132"/>
    <w:rsid w:val="00B66476"/>
    <w:rsid w:val="00B97E47"/>
    <w:rsid w:val="00BA3763"/>
    <w:rsid w:val="00BB282B"/>
    <w:rsid w:val="00BC2AB9"/>
    <w:rsid w:val="00BC376C"/>
    <w:rsid w:val="00BD108E"/>
    <w:rsid w:val="00BD670D"/>
    <w:rsid w:val="00BD6DB6"/>
    <w:rsid w:val="00BF2DCF"/>
    <w:rsid w:val="00BF6EC0"/>
    <w:rsid w:val="00BF76E9"/>
    <w:rsid w:val="00C07F44"/>
    <w:rsid w:val="00C12EE4"/>
    <w:rsid w:val="00C147C9"/>
    <w:rsid w:val="00C27BF2"/>
    <w:rsid w:val="00C36C7A"/>
    <w:rsid w:val="00C36FE1"/>
    <w:rsid w:val="00C4639C"/>
    <w:rsid w:val="00C47DD3"/>
    <w:rsid w:val="00C506E0"/>
    <w:rsid w:val="00C51FAF"/>
    <w:rsid w:val="00C52E09"/>
    <w:rsid w:val="00C552FE"/>
    <w:rsid w:val="00C56B5A"/>
    <w:rsid w:val="00C633F8"/>
    <w:rsid w:val="00C706FD"/>
    <w:rsid w:val="00C8243A"/>
    <w:rsid w:val="00C92EBE"/>
    <w:rsid w:val="00C9635F"/>
    <w:rsid w:val="00C975F3"/>
    <w:rsid w:val="00CA1F58"/>
    <w:rsid w:val="00CA4822"/>
    <w:rsid w:val="00CA6977"/>
    <w:rsid w:val="00CB4956"/>
    <w:rsid w:val="00CB7DFD"/>
    <w:rsid w:val="00CD34E9"/>
    <w:rsid w:val="00CE3B45"/>
    <w:rsid w:val="00CE3E62"/>
    <w:rsid w:val="00CF0511"/>
    <w:rsid w:val="00CF385C"/>
    <w:rsid w:val="00D00414"/>
    <w:rsid w:val="00D01290"/>
    <w:rsid w:val="00D028C5"/>
    <w:rsid w:val="00D03A50"/>
    <w:rsid w:val="00D052B8"/>
    <w:rsid w:val="00D142FB"/>
    <w:rsid w:val="00D2173F"/>
    <w:rsid w:val="00D229F5"/>
    <w:rsid w:val="00D31210"/>
    <w:rsid w:val="00D368A4"/>
    <w:rsid w:val="00D420EB"/>
    <w:rsid w:val="00D540C8"/>
    <w:rsid w:val="00D567C6"/>
    <w:rsid w:val="00D603FB"/>
    <w:rsid w:val="00D65AB3"/>
    <w:rsid w:val="00D661CE"/>
    <w:rsid w:val="00D70D6D"/>
    <w:rsid w:val="00D729A6"/>
    <w:rsid w:val="00D76AAA"/>
    <w:rsid w:val="00D81E5B"/>
    <w:rsid w:val="00D86E1B"/>
    <w:rsid w:val="00D93DF1"/>
    <w:rsid w:val="00D96EB6"/>
    <w:rsid w:val="00DA0A33"/>
    <w:rsid w:val="00DB5070"/>
    <w:rsid w:val="00DC1AF9"/>
    <w:rsid w:val="00DC294A"/>
    <w:rsid w:val="00DC53E5"/>
    <w:rsid w:val="00DD6052"/>
    <w:rsid w:val="00DE0B98"/>
    <w:rsid w:val="00DE381C"/>
    <w:rsid w:val="00DE593D"/>
    <w:rsid w:val="00DE73BC"/>
    <w:rsid w:val="00DE758E"/>
    <w:rsid w:val="00DF3BEB"/>
    <w:rsid w:val="00DF4CE3"/>
    <w:rsid w:val="00E03130"/>
    <w:rsid w:val="00E03658"/>
    <w:rsid w:val="00E05AE3"/>
    <w:rsid w:val="00E107CC"/>
    <w:rsid w:val="00E168C6"/>
    <w:rsid w:val="00E275FA"/>
    <w:rsid w:val="00E27B15"/>
    <w:rsid w:val="00E3190A"/>
    <w:rsid w:val="00E33D12"/>
    <w:rsid w:val="00E4279A"/>
    <w:rsid w:val="00E440A8"/>
    <w:rsid w:val="00E46D82"/>
    <w:rsid w:val="00E51A4C"/>
    <w:rsid w:val="00E55FDC"/>
    <w:rsid w:val="00E576F4"/>
    <w:rsid w:val="00E6035D"/>
    <w:rsid w:val="00E76130"/>
    <w:rsid w:val="00E76AC7"/>
    <w:rsid w:val="00E801E3"/>
    <w:rsid w:val="00E85373"/>
    <w:rsid w:val="00E900C5"/>
    <w:rsid w:val="00E90227"/>
    <w:rsid w:val="00E907DE"/>
    <w:rsid w:val="00E91232"/>
    <w:rsid w:val="00E953FC"/>
    <w:rsid w:val="00EB02F3"/>
    <w:rsid w:val="00EC1AB4"/>
    <w:rsid w:val="00EC50CF"/>
    <w:rsid w:val="00EC5EE4"/>
    <w:rsid w:val="00EC6427"/>
    <w:rsid w:val="00EC739C"/>
    <w:rsid w:val="00EC7B25"/>
    <w:rsid w:val="00ED289B"/>
    <w:rsid w:val="00ED5573"/>
    <w:rsid w:val="00EE0E13"/>
    <w:rsid w:val="00EE1D67"/>
    <w:rsid w:val="00EE2322"/>
    <w:rsid w:val="00EE40D1"/>
    <w:rsid w:val="00EE68DF"/>
    <w:rsid w:val="00EF5CE3"/>
    <w:rsid w:val="00F0130D"/>
    <w:rsid w:val="00F06A8A"/>
    <w:rsid w:val="00F06B4D"/>
    <w:rsid w:val="00F07984"/>
    <w:rsid w:val="00F102EA"/>
    <w:rsid w:val="00F15081"/>
    <w:rsid w:val="00F23152"/>
    <w:rsid w:val="00F23FA8"/>
    <w:rsid w:val="00F439BB"/>
    <w:rsid w:val="00F44484"/>
    <w:rsid w:val="00F4599E"/>
    <w:rsid w:val="00F46E85"/>
    <w:rsid w:val="00F51203"/>
    <w:rsid w:val="00F51964"/>
    <w:rsid w:val="00F63A68"/>
    <w:rsid w:val="00F6691E"/>
    <w:rsid w:val="00F673E5"/>
    <w:rsid w:val="00F70910"/>
    <w:rsid w:val="00F74921"/>
    <w:rsid w:val="00F75B7D"/>
    <w:rsid w:val="00F76EA1"/>
    <w:rsid w:val="00F83363"/>
    <w:rsid w:val="00F847C4"/>
    <w:rsid w:val="00F8793E"/>
    <w:rsid w:val="00F91373"/>
    <w:rsid w:val="00F913E9"/>
    <w:rsid w:val="00F95192"/>
    <w:rsid w:val="00F966D4"/>
    <w:rsid w:val="00FA1943"/>
    <w:rsid w:val="00FA3AB4"/>
    <w:rsid w:val="00FA43CA"/>
    <w:rsid w:val="00FA4460"/>
    <w:rsid w:val="00FB67DC"/>
    <w:rsid w:val="00FC4760"/>
    <w:rsid w:val="00FC739E"/>
    <w:rsid w:val="00FE49FA"/>
    <w:rsid w:val="00FF02CE"/>
    <w:rsid w:val="00FF7EB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qFormat="1"/>
    <w:lsdException w:name="Title" w:qFormat="1"/>
    <w:lsdException w:name="Subtitle" w:qFormat="1"/>
    <w:lsdException w:name="Strong" w:qFormat="1"/>
    <w:lsdException w:name="Emphasis" w:qFormat="1"/>
    <w:lsdException w:name="Normal Table" w:uiPriority="99"/>
    <w:lsdException w:name="Placeholder Text" w:semiHidden="1" w:uiPriority="99"/>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99" w:unhideWhenUsed="1"/>
    <w:lsdException w:name="TOC Heading" w:semiHidden="1" w:uiPriority="99" w:unhideWhenUsed="1" w:qFormat="1"/>
  </w:latentStyles>
  <w:style w:type="paragraph" w:default="1" w:styleId="Normal">
    <w:name w:val="Normal"/>
    <w:qFormat/>
    <w:rsid w:val="00A95CCF"/>
    <w:pPr>
      <w:suppressAutoHyphens/>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95CCF"/>
    <w:pPr>
      <w:keepNext/>
      <w:numPr>
        <w:numId w:val="4"/>
      </w:numPr>
      <w:spacing w:before="360" w:after="240"/>
      <w:jc w:val="center"/>
      <w:outlineLvl w:val="0"/>
    </w:pPr>
    <w:rPr>
      <w:b/>
      <w:sz w:val="28"/>
    </w:rPr>
  </w:style>
  <w:style w:type="paragraph" w:styleId="Heading2">
    <w:name w:val="heading 2"/>
    <w:basedOn w:val="Normal"/>
    <w:next w:val="Normal"/>
    <w:link w:val="Heading2Char"/>
    <w:qFormat/>
    <w:rsid w:val="00A95CCF"/>
    <w:pPr>
      <w:keepNext/>
      <w:numPr>
        <w:ilvl w:val="1"/>
        <w:numId w:val="4"/>
      </w:numPr>
      <w:spacing w:before="240" w:after="120"/>
      <w:outlineLvl w:val="1"/>
    </w:pPr>
    <w:rPr>
      <w:b/>
    </w:rPr>
  </w:style>
  <w:style w:type="paragraph" w:styleId="Heading3">
    <w:name w:val="heading 3"/>
    <w:basedOn w:val="Normal"/>
    <w:next w:val="Normal"/>
    <w:link w:val="Heading3Char"/>
    <w:qFormat/>
    <w:rsid w:val="00A95CCF"/>
    <w:pPr>
      <w:keepNext/>
      <w:numPr>
        <w:ilvl w:val="2"/>
        <w:numId w:val="4"/>
      </w:numPr>
      <w:spacing w:before="120" w:after="60"/>
      <w:outlineLvl w:val="2"/>
    </w:pPr>
    <w:rPr>
      <w:i/>
    </w:rPr>
  </w:style>
  <w:style w:type="paragraph" w:styleId="Heading4">
    <w:name w:val="heading 4"/>
    <w:basedOn w:val="Normal"/>
    <w:next w:val="Normal"/>
    <w:link w:val="Heading4Char"/>
    <w:qFormat/>
    <w:rsid w:val="00A95CCF"/>
    <w:pPr>
      <w:keepNext/>
      <w:numPr>
        <w:ilvl w:val="3"/>
        <w:numId w:val="4"/>
      </w:numPr>
      <w:spacing w:before="240" w:after="60"/>
      <w:outlineLvl w:val="3"/>
    </w:pPr>
    <w:rPr>
      <w:b/>
      <w:bCs/>
      <w:sz w:val="28"/>
      <w:szCs w:val="28"/>
    </w:rPr>
  </w:style>
  <w:style w:type="paragraph" w:styleId="Heading5">
    <w:name w:val="heading 5"/>
    <w:basedOn w:val="Normal"/>
    <w:next w:val="Normal"/>
    <w:link w:val="Heading5Char"/>
    <w:qFormat/>
    <w:rsid w:val="00A95CCF"/>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rsid w:val="00A95CCF"/>
    <w:pPr>
      <w:numPr>
        <w:ilvl w:val="5"/>
        <w:numId w:val="4"/>
      </w:numPr>
      <w:spacing w:before="240" w:after="60"/>
      <w:outlineLvl w:val="5"/>
    </w:pPr>
    <w:rPr>
      <w:b/>
      <w:bCs/>
      <w:sz w:val="22"/>
      <w:szCs w:val="22"/>
    </w:rPr>
  </w:style>
  <w:style w:type="paragraph" w:styleId="Heading7">
    <w:name w:val="heading 7"/>
    <w:basedOn w:val="Normal"/>
    <w:next w:val="Normal"/>
    <w:link w:val="Heading7Char"/>
    <w:qFormat/>
    <w:rsid w:val="00A95CCF"/>
    <w:pPr>
      <w:numPr>
        <w:ilvl w:val="6"/>
        <w:numId w:val="4"/>
      </w:numPr>
      <w:spacing w:before="240" w:after="60"/>
      <w:outlineLvl w:val="6"/>
    </w:pPr>
    <w:rPr>
      <w:szCs w:val="24"/>
    </w:rPr>
  </w:style>
  <w:style w:type="paragraph" w:styleId="Heading8">
    <w:name w:val="heading 8"/>
    <w:basedOn w:val="Normal"/>
    <w:next w:val="Normal"/>
    <w:link w:val="Heading8Char"/>
    <w:qFormat/>
    <w:rsid w:val="00A95CCF"/>
    <w:pPr>
      <w:numPr>
        <w:ilvl w:val="7"/>
        <w:numId w:val="4"/>
      </w:numPr>
      <w:spacing w:before="240" w:after="60"/>
      <w:outlineLvl w:val="7"/>
    </w:pPr>
    <w:rPr>
      <w:i/>
      <w:iCs/>
      <w:szCs w:val="24"/>
    </w:rPr>
  </w:style>
  <w:style w:type="paragraph" w:styleId="Heading9">
    <w:name w:val="heading 9"/>
    <w:basedOn w:val="Normal"/>
    <w:next w:val="Normal"/>
    <w:link w:val="Heading9Char"/>
    <w:qFormat/>
    <w:rsid w:val="00A95CCF"/>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HRHeading1">
    <w:name w:val="ECHR_Heading_1"/>
    <w:aliases w:val="Ju_H_I_Roman"/>
    <w:basedOn w:val="ECHRTitle1"/>
    <w:next w:val="ECHRPara"/>
    <w:link w:val="JuHIRomanChar"/>
    <w:rsid w:val="00A95CCF"/>
    <w:pPr>
      <w:tabs>
        <w:tab w:val="left" w:pos="357"/>
      </w:tabs>
      <w:spacing w:before="360"/>
      <w:ind w:left="357" w:hanging="357"/>
      <w:outlineLvl w:val="1"/>
    </w:pPr>
    <w:rPr>
      <w:sz w:val="24"/>
    </w:rPr>
  </w:style>
  <w:style w:type="paragraph" w:customStyle="1" w:styleId="ECHRTitle1">
    <w:name w:val="ECHR_Title_1"/>
    <w:aliases w:val="Ju_H_Head"/>
    <w:basedOn w:val="NormalTimesNewRoman"/>
    <w:next w:val="ECHRPara"/>
    <w:rsid w:val="00A95CCF"/>
    <w:pPr>
      <w:keepNext/>
      <w:keepLines/>
      <w:spacing w:before="720" w:after="240"/>
      <w:jc w:val="both"/>
      <w:outlineLvl w:val="0"/>
    </w:pPr>
    <w:rPr>
      <w:sz w:val="28"/>
    </w:rPr>
  </w:style>
  <w:style w:type="paragraph" w:customStyle="1" w:styleId="ECHRPara">
    <w:name w:val="ECHR_Para"/>
    <w:aliases w:val="Ju_Para"/>
    <w:basedOn w:val="NormalTimesNewRoman"/>
    <w:link w:val="JuParaCar"/>
    <w:rsid w:val="00A95CCF"/>
    <w:pPr>
      <w:ind w:firstLine="284"/>
      <w:jc w:val="both"/>
    </w:pPr>
  </w:style>
  <w:style w:type="character" w:customStyle="1" w:styleId="JuParaCar">
    <w:name w:val="Ju_Para Car"/>
    <w:link w:val="ECHRPara"/>
    <w:rsid w:val="009D29DE"/>
    <w:rPr>
      <w:rFonts w:ascii="Times New Roman" w:eastAsia="Times New Roman" w:hAnsi="Times New Roman" w:cs="Times New Roman"/>
      <w:sz w:val="24"/>
      <w:szCs w:val="20"/>
    </w:rPr>
  </w:style>
  <w:style w:type="character" w:customStyle="1" w:styleId="JuHIRomanChar">
    <w:name w:val="Ju_H_I_Roman Char"/>
    <w:link w:val="ECHRHeading1"/>
    <w:rsid w:val="00D31210"/>
    <w:rPr>
      <w:rFonts w:ascii="Times New Roman" w:eastAsia="Times New Roman" w:hAnsi="Times New Roman" w:cs="Times New Roman"/>
      <w:sz w:val="24"/>
      <w:szCs w:val="20"/>
    </w:rPr>
  </w:style>
  <w:style w:type="paragraph" w:styleId="Footer">
    <w:name w:val="footer"/>
    <w:basedOn w:val="Normal"/>
    <w:link w:val="FooterChar"/>
    <w:rsid w:val="00A95CCF"/>
    <w:pPr>
      <w:tabs>
        <w:tab w:val="center" w:pos="3686"/>
        <w:tab w:val="right" w:pos="7371"/>
      </w:tabs>
    </w:pPr>
    <w:rPr>
      <w:sz w:val="18"/>
    </w:rPr>
  </w:style>
  <w:style w:type="paragraph" w:customStyle="1" w:styleId="ECHRDecisionBody">
    <w:name w:val="ECHR_Decision_Body"/>
    <w:aliases w:val="Ju_Judges"/>
    <w:basedOn w:val="NormalTimesNewRoman"/>
    <w:link w:val="JuJudgesChar"/>
    <w:rsid w:val="00A95CCF"/>
    <w:pPr>
      <w:tabs>
        <w:tab w:val="left" w:pos="567"/>
        <w:tab w:val="left" w:pos="1134"/>
      </w:tabs>
    </w:pPr>
  </w:style>
  <w:style w:type="character" w:customStyle="1" w:styleId="JuJudgesChar">
    <w:name w:val="Ju_Judges Char"/>
    <w:link w:val="ECHRDecisionBody"/>
    <w:rsid w:val="00287191"/>
    <w:rPr>
      <w:rFonts w:ascii="Times New Roman" w:eastAsia="Times New Roman" w:hAnsi="Times New Roman" w:cs="Times New Roman"/>
      <w:sz w:val="24"/>
      <w:szCs w:val="20"/>
    </w:rPr>
  </w:style>
  <w:style w:type="character" w:styleId="Strong">
    <w:name w:val="Strong"/>
    <w:basedOn w:val="DefaultParagraphFont"/>
    <w:qFormat/>
    <w:rsid w:val="00A95CCF"/>
    <w:rPr>
      <w:rFonts w:ascii="Times New Roman" w:hAnsi="Times New Roman" w:cs="Times New Roman"/>
      <w:b/>
      <w:bCs/>
    </w:rPr>
  </w:style>
  <w:style w:type="paragraph" w:customStyle="1" w:styleId="ECHRHeading2">
    <w:name w:val="ECHR_Heading_2"/>
    <w:aliases w:val="Ju_H_A"/>
    <w:basedOn w:val="ECHRHeading1"/>
    <w:next w:val="ECHRPara"/>
    <w:link w:val="JuHAChar"/>
    <w:rsid w:val="00A95CCF"/>
    <w:pPr>
      <w:tabs>
        <w:tab w:val="clear" w:pos="357"/>
        <w:tab w:val="left" w:pos="584"/>
      </w:tabs>
      <w:ind w:left="584" w:hanging="352"/>
      <w:outlineLvl w:val="2"/>
    </w:pPr>
    <w:rPr>
      <w:b/>
    </w:rPr>
  </w:style>
  <w:style w:type="paragraph" w:customStyle="1" w:styleId="ECHRParaQuote">
    <w:name w:val="ECHR_Para_Quote"/>
    <w:aliases w:val="Ju_Quot"/>
    <w:basedOn w:val="ECHRPara"/>
    <w:rsid w:val="00A95CCF"/>
    <w:pPr>
      <w:spacing w:before="120" w:after="120"/>
      <w:ind w:left="425" w:firstLine="142"/>
    </w:pPr>
    <w:rPr>
      <w:sz w:val="20"/>
    </w:rPr>
  </w:style>
  <w:style w:type="paragraph" w:customStyle="1" w:styleId="JuSigned">
    <w:name w:val="Ju_Signed"/>
    <w:basedOn w:val="NormalTimesNewRoman"/>
    <w:next w:val="JuParaLast"/>
    <w:rsid w:val="00A95CCF"/>
    <w:pPr>
      <w:tabs>
        <w:tab w:val="center" w:pos="851"/>
        <w:tab w:val="center" w:pos="6407"/>
      </w:tabs>
      <w:spacing w:before="720"/>
    </w:pPr>
  </w:style>
  <w:style w:type="paragraph" w:customStyle="1" w:styleId="JuParaLast">
    <w:name w:val="Ju_Para_Last"/>
    <w:basedOn w:val="ECHRPara"/>
    <w:next w:val="ECHRPara"/>
    <w:rsid w:val="00A95CCF"/>
    <w:pPr>
      <w:keepNext/>
      <w:keepLines/>
      <w:spacing w:before="240"/>
    </w:pPr>
  </w:style>
  <w:style w:type="paragraph" w:customStyle="1" w:styleId="JuCase">
    <w:name w:val="Ju_Case"/>
    <w:basedOn w:val="ECHRPara"/>
    <w:next w:val="ECHRPara"/>
    <w:rsid w:val="00A95CCF"/>
    <w:rPr>
      <w:b/>
    </w:rPr>
  </w:style>
  <w:style w:type="paragraph" w:customStyle="1" w:styleId="JuList">
    <w:name w:val="Ju_List"/>
    <w:basedOn w:val="ECHRPara"/>
    <w:rsid w:val="00A95CCF"/>
    <w:pPr>
      <w:ind w:left="340" w:hanging="340"/>
    </w:pPr>
  </w:style>
  <w:style w:type="paragraph" w:customStyle="1" w:styleId="JuCourt">
    <w:name w:val="Ju_Court"/>
    <w:basedOn w:val="ECHRDecisionBody"/>
    <w:rsid w:val="00A95CCF"/>
    <w:pPr>
      <w:tabs>
        <w:tab w:val="clear" w:pos="567"/>
        <w:tab w:val="clear" w:pos="1134"/>
        <w:tab w:val="left" w:pos="907"/>
        <w:tab w:val="left" w:pos="1701"/>
        <w:tab w:val="right" w:pos="7371"/>
      </w:tabs>
      <w:spacing w:before="240"/>
      <w:ind w:left="397" w:hanging="397"/>
    </w:pPr>
  </w:style>
  <w:style w:type="paragraph" w:styleId="FootnoteText">
    <w:name w:val="footnote text"/>
    <w:basedOn w:val="Normal"/>
    <w:link w:val="FootnoteTextChar"/>
    <w:semiHidden/>
    <w:rsid w:val="00A95CCF"/>
    <w:pPr>
      <w:jc w:val="both"/>
    </w:pPr>
    <w:rPr>
      <w:sz w:val="20"/>
    </w:rPr>
  </w:style>
  <w:style w:type="character" w:styleId="FootnoteReference">
    <w:name w:val="footnote reference"/>
    <w:basedOn w:val="DefaultParagraphFont"/>
    <w:semiHidden/>
    <w:rsid w:val="00A95CCF"/>
    <w:rPr>
      <w:rFonts w:ascii="Times New Roman" w:hAnsi="Times New Roman" w:cs="Times New Roman"/>
      <w:vertAlign w:val="superscript"/>
    </w:rPr>
  </w:style>
  <w:style w:type="paragraph" w:styleId="Header">
    <w:name w:val="header"/>
    <w:basedOn w:val="Normal"/>
    <w:link w:val="HeaderChar"/>
    <w:rsid w:val="00A95CCF"/>
    <w:pPr>
      <w:tabs>
        <w:tab w:val="center" w:pos="3686"/>
        <w:tab w:val="right" w:pos="7371"/>
      </w:tabs>
    </w:pPr>
    <w:rPr>
      <w:sz w:val="18"/>
    </w:rPr>
  </w:style>
  <w:style w:type="character" w:styleId="PageNumber">
    <w:name w:val="page number"/>
    <w:basedOn w:val="DefaultParagraphFont"/>
    <w:rsid w:val="00A95CCF"/>
    <w:rPr>
      <w:rFonts w:ascii="Times New Roman" w:hAnsi="Times New Roman" w:cs="Times New Roman"/>
      <w:sz w:val="18"/>
    </w:rPr>
  </w:style>
  <w:style w:type="paragraph" w:customStyle="1" w:styleId="JuLista">
    <w:name w:val="Ju_List_a"/>
    <w:basedOn w:val="JuList"/>
    <w:rsid w:val="00A95CCF"/>
    <w:pPr>
      <w:ind w:left="346" w:firstLine="0"/>
    </w:pPr>
  </w:style>
  <w:style w:type="paragraph" w:customStyle="1" w:styleId="JuListi">
    <w:name w:val="Ju_List_i"/>
    <w:basedOn w:val="JuLista"/>
    <w:rsid w:val="00A95CCF"/>
    <w:pPr>
      <w:ind w:left="794"/>
    </w:pPr>
  </w:style>
  <w:style w:type="character" w:styleId="CommentReference">
    <w:name w:val="annotation reference"/>
    <w:basedOn w:val="DefaultParagraphFont"/>
    <w:semiHidden/>
    <w:rsid w:val="00A95CCF"/>
    <w:rPr>
      <w:rFonts w:ascii="Times New Roman" w:hAnsi="Times New Roman" w:cs="Times New Roman"/>
      <w:sz w:val="16"/>
      <w:szCs w:val="16"/>
    </w:rPr>
  </w:style>
  <w:style w:type="paragraph" w:styleId="CommentText">
    <w:name w:val="annotation text"/>
    <w:basedOn w:val="Normal"/>
    <w:semiHidden/>
    <w:rsid w:val="00A95CCF"/>
    <w:rPr>
      <w:sz w:val="20"/>
    </w:rPr>
  </w:style>
  <w:style w:type="paragraph" w:styleId="BalloonText">
    <w:name w:val="Balloon Text"/>
    <w:basedOn w:val="Normal"/>
    <w:link w:val="BalloonTextChar"/>
    <w:semiHidden/>
    <w:rsid w:val="00A95CCF"/>
    <w:rPr>
      <w:rFonts w:ascii="Tahoma" w:hAnsi="Tahoma" w:cs="Tahoma"/>
      <w:sz w:val="16"/>
      <w:szCs w:val="16"/>
    </w:rPr>
  </w:style>
  <w:style w:type="character" w:styleId="Hyperlink">
    <w:name w:val="Hyperlink"/>
    <w:basedOn w:val="DefaultParagraphFont"/>
    <w:rsid w:val="00A95CCF"/>
    <w:rPr>
      <w:rFonts w:ascii="Times New Roman" w:hAnsi="Times New Roman" w:cs="Times New Roman"/>
      <w:color w:val="0000FF"/>
      <w:u w:val="single"/>
    </w:rPr>
  </w:style>
  <w:style w:type="character" w:styleId="EndnoteReference">
    <w:name w:val="endnote reference"/>
    <w:basedOn w:val="DefaultParagraphFont"/>
    <w:semiHidden/>
    <w:rsid w:val="00A95CCF"/>
    <w:rPr>
      <w:rFonts w:ascii="Times New Roman" w:hAnsi="Times New Roman" w:cs="Times New Roman"/>
      <w:vertAlign w:val="superscript"/>
    </w:rPr>
  </w:style>
  <w:style w:type="paragraph" w:styleId="EndnoteText">
    <w:name w:val="endnote text"/>
    <w:basedOn w:val="Normal"/>
    <w:semiHidden/>
    <w:rsid w:val="00A95CCF"/>
    <w:rPr>
      <w:sz w:val="20"/>
    </w:rPr>
  </w:style>
  <w:style w:type="character" w:styleId="FollowedHyperlink">
    <w:name w:val="FollowedHyperlink"/>
    <w:basedOn w:val="DefaultParagraphFont"/>
    <w:rsid w:val="00A95CCF"/>
    <w:rPr>
      <w:rFonts w:ascii="Times New Roman" w:hAnsi="Times New Roman" w:cs="Times New Roman"/>
      <w:color w:val="800080"/>
      <w:u w:val="single"/>
    </w:rPr>
  </w:style>
  <w:style w:type="paragraph" w:styleId="ListBullet">
    <w:name w:val="List Bullet"/>
    <w:basedOn w:val="NormalTimesNewRoman"/>
    <w:rsid w:val="00A95CCF"/>
    <w:pPr>
      <w:numPr>
        <w:numId w:val="1"/>
      </w:numPr>
    </w:pPr>
  </w:style>
  <w:style w:type="character" w:customStyle="1" w:styleId="JuNames">
    <w:name w:val="Ju_Names"/>
    <w:basedOn w:val="DefaultParagraphFont"/>
    <w:rsid w:val="00A95CCF"/>
    <w:rPr>
      <w:rFonts w:ascii="Times New Roman" w:hAnsi="Times New Roman" w:cs="Times New Roman"/>
      <w:smallCaps/>
    </w:rPr>
  </w:style>
  <w:style w:type="paragraph" w:styleId="CommentSubject">
    <w:name w:val="annotation subject"/>
    <w:basedOn w:val="CommentText"/>
    <w:next w:val="CommentText"/>
    <w:semiHidden/>
    <w:rsid w:val="00A95CCF"/>
    <w:rPr>
      <w:b/>
      <w:bCs/>
    </w:rPr>
  </w:style>
  <w:style w:type="paragraph" w:styleId="DocumentMap">
    <w:name w:val="Document Map"/>
    <w:basedOn w:val="Normal"/>
    <w:semiHidden/>
    <w:rsid w:val="00A95CCF"/>
    <w:pPr>
      <w:shd w:val="clear" w:color="auto" w:fill="000080"/>
    </w:pPr>
    <w:rPr>
      <w:rFonts w:ascii="Tahoma" w:hAnsi="Tahoma" w:cs="Tahoma"/>
      <w:sz w:val="20"/>
    </w:rPr>
  </w:style>
  <w:style w:type="character" w:customStyle="1" w:styleId="JuITMark">
    <w:name w:val="Ju_ITMark"/>
    <w:basedOn w:val="DefaultTimesNewRoman"/>
    <w:rsid w:val="00A95CCF"/>
    <w:rPr>
      <w:rFonts w:ascii="Times New Roman" w:hAnsi="Times New Roman" w:cs="Times New Roman"/>
      <w:vanish/>
      <w:color w:val="339966"/>
      <w:sz w:val="16"/>
      <w:szCs w:val="16"/>
      <w:lang w:val="fi-FI"/>
    </w:rPr>
  </w:style>
  <w:style w:type="character" w:customStyle="1" w:styleId="Heading1Char">
    <w:name w:val="Heading 1 Char"/>
    <w:basedOn w:val="DefaultParagraphFont"/>
    <w:link w:val="Heading1"/>
    <w:rsid w:val="00A95CCF"/>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A95CCF"/>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95CCF"/>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A95C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95CC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95CCF"/>
    <w:rPr>
      <w:rFonts w:ascii="Times New Roman" w:eastAsia="Times New Roman" w:hAnsi="Times New Roman" w:cs="Times New Roman"/>
      <w:b/>
      <w:bCs/>
    </w:rPr>
  </w:style>
  <w:style w:type="character" w:customStyle="1" w:styleId="Heading7Char">
    <w:name w:val="Heading 7 Char"/>
    <w:basedOn w:val="DefaultParagraphFont"/>
    <w:link w:val="Heading7"/>
    <w:rsid w:val="00A95C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95CC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95CCF"/>
    <w:rPr>
      <w:rFonts w:ascii="Arial" w:eastAsia="Times New Roman" w:hAnsi="Arial" w:cs="Arial"/>
    </w:rPr>
  </w:style>
  <w:style w:type="character" w:customStyle="1" w:styleId="BalloonTextChar">
    <w:name w:val="Balloon Text Char"/>
    <w:basedOn w:val="DefaultParagraphFont"/>
    <w:link w:val="BalloonText"/>
    <w:semiHidden/>
    <w:rsid w:val="00A95CCF"/>
    <w:rPr>
      <w:rFonts w:ascii="Tahoma" w:eastAsia="Times New Roman" w:hAnsi="Tahoma" w:cs="Tahoma"/>
      <w:sz w:val="16"/>
      <w:szCs w:val="16"/>
    </w:rPr>
  </w:style>
  <w:style w:type="character" w:styleId="BookTitle">
    <w:name w:val="Book Title"/>
    <w:uiPriority w:val="99"/>
    <w:semiHidden/>
    <w:qFormat/>
    <w:rsid w:val="00A95CCF"/>
    <w:rPr>
      <w:i/>
      <w:iCs/>
      <w:smallCaps/>
      <w:spacing w:val="5"/>
    </w:rPr>
  </w:style>
  <w:style w:type="paragraph" w:styleId="NoSpacing">
    <w:name w:val="No Spacing"/>
    <w:basedOn w:val="Normal"/>
    <w:link w:val="NoSpacingChar"/>
    <w:semiHidden/>
    <w:qFormat/>
    <w:rsid w:val="00A95CCF"/>
  </w:style>
  <w:style w:type="character" w:customStyle="1" w:styleId="NoSpacingChar">
    <w:name w:val="No Spacing Char"/>
    <w:basedOn w:val="DefaultParagraphFont"/>
    <w:link w:val="NoSpacing"/>
    <w:semiHidden/>
    <w:rsid w:val="00A95CCF"/>
    <w:rPr>
      <w:rFonts w:ascii="Times New Roman" w:eastAsiaTheme="minorEastAsia" w:hAnsi="Times New Roman" w:cs="Times New Roman"/>
      <w:sz w:val="24"/>
      <w:lang w:val="en-US" w:eastAsia="en-US"/>
    </w:rPr>
  </w:style>
  <w:style w:type="paragraph" w:styleId="Title">
    <w:name w:val="Title"/>
    <w:basedOn w:val="Normal"/>
    <w:link w:val="TitleChar"/>
    <w:qFormat/>
    <w:rsid w:val="00A95CC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95CCF"/>
    <w:rPr>
      <w:rFonts w:ascii="Arial" w:eastAsia="Times New Roman" w:hAnsi="Arial" w:cs="Arial"/>
      <w:b/>
      <w:bCs/>
      <w:kern w:val="28"/>
      <w:sz w:val="32"/>
      <w:szCs w:val="32"/>
    </w:rPr>
  </w:style>
  <w:style w:type="paragraph" w:styleId="Subtitle">
    <w:name w:val="Subtitle"/>
    <w:basedOn w:val="Normal"/>
    <w:link w:val="SubtitleChar"/>
    <w:qFormat/>
    <w:rsid w:val="00A95CCF"/>
    <w:pPr>
      <w:spacing w:after="60"/>
      <w:jc w:val="center"/>
      <w:outlineLvl w:val="1"/>
    </w:pPr>
    <w:rPr>
      <w:rFonts w:ascii="Arial" w:hAnsi="Arial" w:cs="Arial"/>
      <w:szCs w:val="24"/>
    </w:rPr>
  </w:style>
  <w:style w:type="character" w:customStyle="1" w:styleId="SubtitleChar">
    <w:name w:val="Subtitle Char"/>
    <w:basedOn w:val="DefaultParagraphFont"/>
    <w:link w:val="Subtitle"/>
    <w:rsid w:val="00A95CCF"/>
    <w:rPr>
      <w:rFonts w:ascii="Arial" w:eastAsia="Times New Roman" w:hAnsi="Arial" w:cs="Arial"/>
      <w:sz w:val="24"/>
      <w:szCs w:val="24"/>
    </w:rPr>
  </w:style>
  <w:style w:type="paragraph" w:customStyle="1" w:styleId="ECHRFooter">
    <w:name w:val="ECHR_Footer"/>
    <w:aliases w:val="Footer_ECHR"/>
    <w:basedOn w:val="Footer"/>
    <w:uiPriority w:val="57"/>
    <w:semiHidden/>
    <w:rsid w:val="00A95CCF"/>
    <w:rPr>
      <w:sz w:val="8"/>
    </w:rPr>
  </w:style>
  <w:style w:type="paragraph" w:customStyle="1" w:styleId="ECHRFooterLine">
    <w:name w:val="ECHR_Footer_Line"/>
    <w:aliases w:val="Footer_Line"/>
    <w:basedOn w:val="Normal"/>
    <w:next w:val="ECHRFooter"/>
    <w:uiPriority w:val="57"/>
    <w:semiHidden/>
    <w:rsid w:val="00A95CCF"/>
    <w:pPr>
      <w:pBdr>
        <w:top w:val="single" w:sz="6" w:space="1" w:color="5F5F5F"/>
      </w:pBdr>
      <w:tabs>
        <w:tab w:val="center" w:pos="4536"/>
        <w:tab w:val="right" w:pos="9696"/>
      </w:tabs>
      <w:ind w:left="-680" w:right="-680"/>
    </w:pPr>
    <w:rPr>
      <w:color w:val="5F5F5F"/>
    </w:rPr>
  </w:style>
  <w:style w:type="character" w:customStyle="1" w:styleId="HeaderChar">
    <w:name w:val="Header Char"/>
    <w:basedOn w:val="DefaultParagraphFont"/>
    <w:link w:val="Header"/>
    <w:rsid w:val="00A95CCF"/>
    <w:rPr>
      <w:rFonts w:ascii="Times New Roman" w:eastAsia="Times New Roman" w:hAnsi="Times New Roman" w:cs="Times New Roman"/>
      <w:sz w:val="18"/>
      <w:szCs w:val="20"/>
    </w:rPr>
  </w:style>
  <w:style w:type="paragraph" w:customStyle="1" w:styleId="ECHRHeader">
    <w:name w:val="ECHR_Header"/>
    <w:aliases w:val="Ju_Header"/>
    <w:basedOn w:val="Header"/>
    <w:rsid w:val="00A95CCF"/>
  </w:style>
  <w:style w:type="character" w:styleId="SubtleEmphasis">
    <w:name w:val="Subtle Emphasis"/>
    <w:uiPriority w:val="99"/>
    <w:semiHidden/>
    <w:qFormat/>
    <w:rsid w:val="00A95CCF"/>
    <w:rPr>
      <w:i/>
      <w:iCs/>
    </w:rPr>
  </w:style>
  <w:style w:type="character" w:styleId="Emphasis">
    <w:name w:val="Emphasis"/>
    <w:basedOn w:val="DefaultParagraphFont"/>
    <w:qFormat/>
    <w:rsid w:val="00A95CCF"/>
    <w:rPr>
      <w:rFonts w:ascii="Times New Roman" w:hAnsi="Times New Roman" w:cs="Times New Roman"/>
      <w:i/>
      <w:iCs/>
    </w:rPr>
  </w:style>
  <w:style w:type="character" w:customStyle="1" w:styleId="FooterChar">
    <w:name w:val="Footer Char"/>
    <w:basedOn w:val="DefaultParagraphFont"/>
    <w:link w:val="Footer"/>
    <w:rsid w:val="00A95CCF"/>
    <w:rPr>
      <w:rFonts w:ascii="Times New Roman" w:eastAsia="Times New Roman" w:hAnsi="Times New Roman" w:cs="Times New Roman"/>
      <w:sz w:val="18"/>
      <w:szCs w:val="20"/>
    </w:rPr>
  </w:style>
  <w:style w:type="character" w:customStyle="1" w:styleId="FootnoteTextChar">
    <w:name w:val="Footnote Text Char"/>
    <w:basedOn w:val="DefaultParagraphFont"/>
    <w:link w:val="FootnoteText"/>
    <w:semiHidden/>
    <w:rsid w:val="00A95CCF"/>
    <w:rPr>
      <w:rFonts w:ascii="Times New Roman" w:eastAsia="Times New Roman" w:hAnsi="Times New Roman" w:cs="Times New Roman"/>
      <w:sz w:val="20"/>
      <w:szCs w:val="20"/>
    </w:rPr>
  </w:style>
  <w:style w:type="character" w:styleId="IntenseEmphasis">
    <w:name w:val="Intense Emphasis"/>
    <w:uiPriority w:val="99"/>
    <w:semiHidden/>
    <w:qFormat/>
    <w:rsid w:val="00A95CCF"/>
    <w:rPr>
      <w:b/>
      <w:bCs/>
    </w:rPr>
  </w:style>
  <w:style w:type="paragraph" w:styleId="IntenseQuote">
    <w:name w:val="Intense Quote"/>
    <w:basedOn w:val="Normal"/>
    <w:next w:val="Normal"/>
    <w:link w:val="IntenseQuoteChar"/>
    <w:uiPriority w:val="99"/>
    <w:semiHidden/>
    <w:qFormat/>
    <w:rsid w:val="00A95CCF"/>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A95CCF"/>
    <w:rPr>
      <w:rFonts w:ascii="Times New Roman" w:eastAsiaTheme="minorEastAsia" w:hAnsi="Times New Roman" w:cs="Times New Roman"/>
      <w:b/>
      <w:bCs/>
      <w:i/>
      <w:iCs/>
      <w:sz w:val="24"/>
      <w:lang w:val="en-US" w:eastAsia="en-US" w:bidi="en-US"/>
    </w:rPr>
  </w:style>
  <w:style w:type="character" w:styleId="IntenseReference">
    <w:name w:val="Intense Reference"/>
    <w:uiPriority w:val="99"/>
    <w:semiHidden/>
    <w:qFormat/>
    <w:rsid w:val="00A95CCF"/>
    <w:rPr>
      <w:smallCaps/>
      <w:spacing w:val="5"/>
      <w:u w:val="single"/>
    </w:rPr>
  </w:style>
  <w:style w:type="paragraph" w:customStyle="1" w:styleId="JuAppQuestion">
    <w:name w:val="Ju_App_Question"/>
    <w:basedOn w:val="ListBullet"/>
    <w:rsid w:val="00A95CCF"/>
    <w:pPr>
      <w:numPr>
        <w:numId w:val="14"/>
      </w:numPr>
    </w:pPr>
    <w:rPr>
      <w:b/>
      <w:color w:val="333333"/>
      <w:lang w:val="en-GB"/>
    </w:rPr>
  </w:style>
  <w:style w:type="paragraph" w:customStyle="1" w:styleId="OpiPara">
    <w:name w:val="Opi_Para"/>
    <w:basedOn w:val="ECHRPara"/>
    <w:rsid w:val="00A95CCF"/>
  </w:style>
  <w:style w:type="paragraph" w:customStyle="1" w:styleId="JuParaSub">
    <w:name w:val="Ju_Para_Sub"/>
    <w:basedOn w:val="ECHRPara"/>
    <w:rsid w:val="00A95CCF"/>
    <w:pPr>
      <w:ind w:left="284"/>
    </w:pPr>
  </w:style>
  <w:style w:type="paragraph" w:customStyle="1" w:styleId="OpiParaSub">
    <w:name w:val="Opi_Para_Sub"/>
    <w:basedOn w:val="JuParaSub"/>
    <w:rsid w:val="00A95CCF"/>
  </w:style>
  <w:style w:type="paragraph" w:customStyle="1" w:styleId="OpiQuot">
    <w:name w:val="Opi_Quot"/>
    <w:basedOn w:val="ECHRParaQuote"/>
    <w:rsid w:val="00A95CCF"/>
  </w:style>
  <w:style w:type="paragraph" w:customStyle="1" w:styleId="OpiQuotSub">
    <w:name w:val="Opi_Quot_Sub"/>
    <w:basedOn w:val="JuQuotSub"/>
    <w:rsid w:val="00A95CCF"/>
  </w:style>
  <w:style w:type="paragraph" w:styleId="ListParagraph">
    <w:name w:val="List Paragraph"/>
    <w:basedOn w:val="Normal"/>
    <w:uiPriority w:val="99"/>
    <w:semiHidden/>
    <w:qFormat/>
    <w:rsid w:val="00A95CCF"/>
    <w:pPr>
      <w:ind w:left="720"/>
      <w:contextualSpacing/>
    </w:pPr>
  </w:style>
  <w:style w:type="paragraph" w:styleId="Quote">
    <w:name w:val="Quote"/>
    <w:basedOn w:val="Normal"/>
    <w:next w:val="Normal"/>
    <w:link w:val="QuoteChar"/>
    <w:uiPriority w:val="99"/>
    <w:semiHidden/>
    <w:qFormat/>
    <w:rsid w:val="00A95CCF"/>
    <w:pPr>
      <w:spacing w:before="200"/>
      <w:ind w:left="360" w:right="360"/>
    </w:pPr>
    <w:rPr>
      <w:i/>
      <w:iCs/>
      <w:lang w:bidi="en-US"/>
    </w:rPr>
  </w:style>
  <w:style w:type="character" w:customStyle="1" w:styleId="QuoteChar">
    <w:name w:val="Quote Char"/>
    <w:basedOn w:val="DefaultParagraphFont"/>
    <w:link w:val="Quote"/>
    <w:uiPriority w:val="99"/>
    <w:semiHidden/>
    <w:rsid w:val="00A95CCF"/>
    <w:rPr>
      <w:rFonts w:ascii="Times New Roman" w:eastAsiaTheme="minorEastAsia" w:hAnsi="Times New Roman" w:cs="Times New Roman"/>
      <w:i/>
      <w:iCs/>
      <w:sz w:val="24"/>
      <w:lang w:val="en-US" w:eastAsia="en-US" w:bidi="en-US"/>
    </w:rPr>
  </w:style>
  <w:style w:type="character" w:styleId="SubtleReference">
    <w:name w:val="Subtle Reference"/>
    <w:uiPriority w:val="99"/>
    <w:semiHidden/>
    <w:qFormat/>
    <w:rsid w:val="00A95CCF"/>
    <w:rPr>
      <w:smallCaps/>
    </w:rPr>
  </w:style>
  <w:style w:type="table" w:styleId="TableGrid">
    <w:name w:val="Table Grid"/>
    <w:basedOn w:val="TableNormal"/>
    <w:rsid w:val="00A95CCF"/>
    <w:pPr>
      <w:suppressAutoHyphens/>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A95CCF"/>
  </w:style>
  <w:style w:type="paragraph" w:styleId="TOC2">
    <w:name w:val="toc 2"/>
    <w:basedOn w:val="Normal"/>
    <w:next w:val="Normal"/>
    <w:autoRedefine/>
    <w:semiHidden/>
    <w:rsid w:val="00A95CCF"/>
    <w:pPr>
      <w:ind w:left="240"/>
    </w:pPr>
  </w:style>
  <w:style w:type="paragraph" w:styleId="TOC3">
    <w:name w:val="toc 3"/>
    <w:basedOn w:val="Normal"/>
    <w:next w:val="Normal"/>
    <w:autoRedefine/>
    <w:semiHidden/>
    <w:rsid w:val="00A95CCF"/>
    <w:pPr>
      <w:ind w:left="480"/>
    </w:pPr>
  </w:style>
  <w:style w:type="paragraph" w:styleId="TOC4">
    <w:name w:val="toc 4"/>
    <w:basedOn w:val="Normal"/>
    <w:next w:val="Normal"/>
    <w:autoRedefine/>
    <w:semiHidden/>
    <w:rsid w:val="00A95CCF"/>
    <w:pPr>
      <w:ind w:left="720"/>
    </w:pPr>
  </w:style>
  <w:style w:type="paragraph" w:styleId="TOC5">
    <w:name w:val="toc 5"/>
    <w:basedOn w:val="Normal"/>
    <w:next w:val="Normal"/>
    <w:autoRedefine/>
    <w:semiHidden/>
    <w:rsid w:val="00A95CCF"/>
    <w:pPr>
      <w:ind w:left="960"/>
    </w:pPr>
  </w:style>
  <w:style w:type="paragraph" w:styleId="TOCHeading">
    <w:name w:val="TOC Heading"/>
    <w:basedOn w:val="Heading1"/>
    <w:next w:val="Normal"/>
    <w:uiPriority w:val="99"/>
    <w:semiHidden/>
    <w:qFormat/>
    <w:rsid w:val="00A95CCF"/>
    <w:pPr>
      <w:outlineLvl w:val="9"/>
    </w:pPr>
    <w:rPr>
      <w:color w:val="474747" w:themeColor="accent3" w:themeShade="BF"/>
    </w:rPr>
  </w:style>
  <w:style w:type="paragraph" w:customStyle="1" w:styleId="ECHRTitleCentre3">
    <w:name w:val="ECHR_Title_Centre_3"/>
    <w:aliases w:val="Ju_H_Article"/>
    <w:basedOn w:val="ECHRHeading4"/>
    <w:next w:val="ECHRParaQuote"/>
    <w:rsid w:val="00A95CCF"/>
    <w:pPr>
      <w:ind w:left="0" w:firstLine="0"/>
      <w:jc w:val="center"/>
    </w:pPr>
  </w:style>
  <w:style w:type="paragraph" w:customStyle="1" w:styleId="ECHRTitleCentre2">
    <w:name w:val="ECHR_Title_Centre_2"/>
    <w:aliases w:val="Dec_H_Case"/>
    <w:basedOn w:val="DecHTitle"/>
    <w:next w:val="ECHRPara"/>
    <w:rsid w:val="00A95CCF"/>
    <w:rPr>
      <w:sz w:val="24"/>
    </w:rPr>
  </w:style>
  <w:style w:type="paragraph" w:customStyle="1" w:styleId="JuTitle">
    <w:name w:val="Ju_Title"/>
    <w:basedOn w:val="Normal"/>
    <w:next w:val="ECHRPara"/>
    <w:uiPriority w:val="3"/>
    <w:qFormat/>
    <w:rsid w:val="00A95CCF"/>
    <w:pPr>
      <w:spacing w:before="720" w:after="240"/>
      <w:jc w:val="center"/>
      <w:outlineLvl w:val="0"/>
    </w:pPr>
    <w:rPr>
      <w:rFonts w:asciiTheme="majorHAnsi" w:hAnsiTheme="majorHAnsi"/>
      <w:b/>
      <w:caps/>
    </w:rPr>
  </w:style>
  <w:style w:type="paragraph" w:customStyle="1" w:styleId="ECHRTitleCentre1">
    <w:name w:val="ECHR_Title_Centre_1"/>
    <w:aliases w:val="Opi_H_Head"/>
    <w:basedOn w:val="ECHRTitle1"/>
    <w:next w:val="OpiPara"/>
    <w:rsid w:val="00A95CCF"/>
    <w:pPr>
      <w:spacing w:before="0"/>
      <w:jc w:val="center"/>
    </w:pPr>
  </w:style>
  <w:style w:type="paragraph" w:customStyle="1" w:styleId="JuQuotSub">
    <w:name w:val="Ju_Quot_Sub"/>
    <w:basedOn w:val="ECHRParaQuote"/>
    <w:rsid w:val="00A95CCF"/>
    <w:pPr>
      <w:ind w:left="567"/>
    </w:pPr>
  </w:style>
  <w:style w:type="paragraph" w:customStyle="1" w:styleId="JuInitialled">
    <w:name w:val="Ju_Initialled"/>
    <w:basedOn w:val="JuSigned"/>
    <w:rsid w:val="00A95CCF"/>
    <w:pPr>
      <w:tabs>
        <w:tab w:val="clear" w:pos="851"/>
      </w:tabs>
      <w:jc w:val="right"/>
    </w:pPr>
  </w:style>
  <w:style w:type="paragraph" w:customStyle="1" w:styleId="OpiHA">
    <w:name w:val="Opi_H_A"/>
    <w:basedOn w:val="ECHRHeading1"/>
    <w:next w:val="OpiPara"/>
    <w:rsid w:val="00A95CCF"/>
    <w:pPr>
      <w:tabs>
        <w:tab w:val="clear" w:pos="357"/>
      </w:tabs>
    </w:pPr>
    <w:rPr>
      <w:b/>
    </w:rPr>
  </w:style>
  <w:style w:type="character" w:customStyle="1" w:styleId="JUNAMES0">
    <w:name w:val="JU_NAMES"/>
    <w:uiPriority w:val="17"/>
    <w:qFormat/>
    <w:rsid w:val="00A95CCF"/>
    <w:rPr>
      <w:caps w:val="0"/>
      <w:smallCaps/>
    </w:rPr>
  </w:style>
  <w:style w:type="paragraph" w:customStyle="1" w:styleId="OpiTranslation">
    <w:name w:val="Opi_Translation"/>
    <w:basedOn w:val="ECHRTitleCentre1"/>
    <w:next w:val="OpiPara"/>
    <w:rsid w:val="00A95CCF"/>
    <w:rPr>
      <w:i/>
      <w:sz w:val="24"/>
    </w:rPr>
  </w:style>
  <w:style w:type="paragraph" w:customStyle="1" w:styleId="DecHTitle">
    <w:name w:val="Dec_H_Title"/>
    <w:basedOn w:val="NormalTimesNewRoman"/>
    <w:rsid w:val="00A95CCF"/>
    <w:pPr>
      <w:spacing w:after="240"/>
      <w:jc w:val="center"/>
      <w:outlineLvl w:val="0"/>
    </w:pPr>
    <w:rPr>
      <w:sz w:val="28"/>
    </w:rPr>
  </w:style>
  <w:style w:type="paragraph" w:styleId="TOAHeading">
    <w:name w:val="toa heading"/>
    <w:basedOn w:val="Normal"/>
    <w:next w:val="Normal"/>
    <w:semiHidden/>
    <w:rsid w:val="00A95CCF"/>
    <w:pPr>
      <w:spacing w:before="120"/>
    </w:pPr>
    <w:rPr>
      <w:rFonts w:ascii="Arial" w:hAnsi="Arial" w:cs="Arial"/>
      <w:b/>
      <w:bCs/>
      <w:szCs w:val="24"/>
    </w:rPr>
  </w:style>
  <w:style w:type="paragraph" w:customStyle="1" w:styleId="ECHRHeading3">
    <w:name w:val="ECHR_Heading_3"/>
    <w:aliases w:val="Ju_H_1."/>
    <w:basedOn w:val="ECHRHeading2"/>
    <w:next w:val="ECHRPara"/>
    <w:rsid w:val="00A95CCF"/>
    <w:pPr>
      <w:tabs>
        <w:tab w:val="clear" w:pos="584"/>
        <w:tab w:val="left" w:pos="731"/>
      </w:tabs>
      <w:spacing w:before="240" w:after="120"/>
      <w:ind w:left="732" w:hanging="301"/>
      <w:outlineLvl w:val="3"/>
    </w:pPr>
    <w:rPr>
      <w:b w:val="0"/>
      <w:i/>
    </w:rPr>
  </w:style>
  <w:style w:type="paragraph" w:customStyle="1" w:styleId="ECHRHeading4">
    <w:name w:val="ECHR_Heading_4"/>
    <w:aliases w:val="Ju_H_a"/>
    <w:basedOn w:val="ECHRHeading3"/>
    <w:next w:val="ECHRPara"/>
    <w:rsid w:val="00A95CCF"/>
    <w:pPr>
      <w:tabs>
        <w:tab w:val="clear" w:pos="731"/>
        <w:tab w:val="left" w:pos="975"/>
      </w:tabs>
      <w:ind w:left="975" w:hanging="340"/>
      <w:outlineLvl w:val="4"/>
    </w:pPr>
    <w:rPr>
      <w:b/>
      <w:i w:val="0"/>
      <w:sz w:val="20"/>
    </w:rPr>
  </w:style>
  <w:style w:type="paragraph" w:customStyle="1" w:styleId="ECHRHeading5">
    <w:name w:val="ECHR_Heading_5"/>
    <w:aliases w:val="Ju_H_i"/>
    <w:basedOn w:val="ECHRHeading4"/>
    <w:next w:val="ECHRPara"/>
    <w:rsid w:val="00A95CCF"/>
    <w:pPr>
      <w:tabs>
        <w:tab w:val="clear" w:pos="975"/>
        <w:tab w:val="left" w:pos="1191"/>
      </w:tabs>
      <w:ind w:left="1190" w:hanging="357"/>
      <w:outlineLvl w:val="5"/>
    </w:pPr>
    <w:rPr>
      <w:b w:val="0"/>
      <w:i/>
    </w:rPr>
  </w:style>
  <w:style w:type="paragraph" w:customStyle="1" w:styleId="ECHRHeading6">
    <w:name w:val="ECHR_Heading_6"/>
    <w:aliases w:val="Ju_H_alpha"/>
    <w:basedOn w:val="ECHRHeading5"/>
    <w:next w:val="ECHRPara"/>
    <w:rsid w:val="00A95CCF"/>
    <w:pPr>
      <w:tabs>
        <w:tab w:val="clear" w:pos="1191"/>
        <w:tab w:val="left" w:pos="1372"/>
      </w:tabs>
      <w:ind w:left="1373" w:hanging="335"/>
      <w:outlineLvl w:val="9"/>
    </w:pPr>
    <w:rPr>
      <w:i w:val="0"/>
    </w:rPr>
  </w:style>
  <w:style w:type="paragraph" w:customStyle="1" w:styleId="ECHRHeading7">
    <w:name w:val="ECHR_Heading_7"/>
    <w:aliases w:val="Ju_H_–"/>
    <w:basedOn w:val="ECHRHeading6"/>
    <w:next w:val="ECHRPara"/>
    <w:rsid w:val="00A95CCF"/>
    <w:pPr>
      <w:tabs>
        <w:tab w:val="clear" w:pos="1372"/>
      </w:tabs>
      <w:ind w:left="1236" w:firstLine="0"/>
    </w:pPr>
    <w:rPr>
      <w:i/>
    </w:rPr>
  </w:style>
  <w:style w:type="paragraph" w:customStyle="1" w:styleId="DecList">
    <w:name w:val="Dec_List"/>
    <w:basedOn w:val="NormalTimesNewRoman"/>
    <w:rsid w:val="00A95CCF"/>
    <w:pPr>
      <w:spacing w:before="240"/>
      <w:ind w:left="284"/>
      <w:jc w:val="both"/>
    </w:pPr>
  </w:style>
  <w:style w:type="paragraph" w:customStyle="1" w:styleId="OpiH1">
    <w:name w:val="Opi_H_1"/>
    <w:basedOn w:val="ECHRHeading2"/>
    <w:uiPriority w:val="42"/>
    <w:qFormat/>
    <w:rsid w:val="00A95CCF"/>
    <w:pPr>
      <w:ind w:left="635" w:hanging="357"/>
    </w:pPr>
  </w:style>
  <w:style w:type="paragraph" w:customStyle="1" w:styleId="OpiHa0">
    <w:name w:val="Opi_H_a"/>
    <w:basedOn w:val="OpiH10"/>
    <w:next w:val="OpiPara"/>
    <w:rsid w:val="00A95CCF"/>
    <w:pPr>
      <w:ind w:left="833"/>
      <w:outlineLvl w:val="3"/>
    </w:pPr>
    <w:rPr>
      <w:b/>
      <w:i w:val="0"/>
      <w:sz w:val="20"/>
    </w:rPr>
  </w:style>
  <w:style w:type="paragraph" w:customStyle="1" w:styleId="OpiHi">
    <w:name w:val="Opi_H_i"/>
    <w:basedOn w:val="OpiHa0"/>
    <w:next w:val="OpiPara"/>
    <w:rsid w:val="00A95CCF"/>
    <w:pPr>
      <w:ind w:left="1037"/>
      <w:outlineLvl w:val="4"/>
    </w:pPr>
    <w:rPr>
      <w:b w:val="0"/>
      <w:i/>
    </w:rPr>
  </w:style>
  <w:style w:type="numbering" w:styleId="111111">
    <w:name w:val="Outline List 2"/>
    <w:basedOn w:val="NoList"/>
    <w:rsid w:val="00A95CCF"/>
    <w:pPr>
      <w:numPr>
        <w:numId w:val="2"/>
      </w:numPr>
    </w:pPr>
  </w:style>
  <w:style w:type="numbering" w:styleId="1ai">
    <w:name w:val="Outline List 1"/>
    <w:basedOn w:val="NoList"/>
    <w:rsid w:val="00A95CCF"/>
    <w:pPr>
      <w:numPr>
        <w:numId w:val="3"/>
      </w:numPr>
    </w:pPr>
  </w:style>
  <w:style w:type="numbering" w:styleId="ArticleSection">
    <w:name w:val="Outline List 3"/>
    <w:basedOn w:val="NoList"/>
    <w:rsid w:val="00A95CCF"/>
    <w:pPr>
      <w:numPr>
        <w:numId w:val="4"/>
      </w:numPr>
    </w:pPr>
  </w:style>
  <w:style w:type="paragraph" w:styleId="Bibliography">
    <w:name w:val="Bibliography"/>
    <w:basedOn w:val="Normal"/>
    <w:next w:val="Normal"/>
    <w:uiPriority w:val="99"/>
    <w:semiHidden/>
    <w:unhideWhenUsed/>
    <w:rsid w:val="000C4043"/>
  </w:style>
  <w:style w:type="paragraph" w:styleId="BlockText">
    <w:name w:val="Block Text"/>
    <w:basedOn w:val="Normal"/>
    <w:rsid w:val="00A95CCF"/>
    <w:pPr>
      <w:spacing w:after="120"/>
      <w:ind w:left="1440" w:right="1440"/>
    </w:pPr>
  </w:style>
  <w:style w:type="paragraph" w:styleId="BodyText">
    <w:name w:val="Body Text"/>
    <w:basedOn w:val="Normal"/>
    <w:link w:val="BodyTextChar"/>
    <w:rsid w:val="00A95CCF"/>
    <w:pPr>
      <w:spacing w:after="120"/>
    </w:pPr>
  </w:style>
  <w:style w:type="character" w:customStyle="1" w:styleId="BodyTextChar">
    <w:name w:val="Body Text Char"/>
    <w:basedOn w:val="DefaultParagraphFont"/>
    <w:link w:val="BodyText"/>
    <w:rsid w:val="000C4043"/>
    <w:rPr>
      <w:rFonts w:ascii="Times New Roman" w:eastAsia="Times New Roman" w:hAnsi="Times New Roman" w:cs="Times New Roman"/>
      <w:sz w:val="24"/>
      <w:szCs w:val="20"/>
    </w:rPr>
  </w:style>
  <w:style w:type="paragraph" w:styleId="BodyText2">
    <w:name w:val="Body Text 2"/>
    <w:basedOn w:val="Normal"/>
    <w:link w:val="BodyText2Char"/>
    <w:rsid w:val="00A95CCF"/>
    <w:pPr>
      <w:spacing w:after="120" w:line="480" w:lineRule="auto"/>
    </w:pPr>
  </w:style>
  <w:style w:type="character" w:customStyle="1" w:styleId="BodyText2Char">
    <w:name w:val="Body Text 2 Char"/>
    <w:basedOn w:val="DefaultParagraphFont"/>
    <w:link w:val="BodyText2"/>
    <w:rsid w:val="000C4043"/>
    <w:rPr>
      <w:rFonts w:ascii="Times New Roman" w:eastAsia="Times New Roman" w:hAnsi="Times New Roman" w:cs="Times New Roman"/>
      <w:sz w:val="24"/>
      <w:szCs w:val="20"/>
    </w:rPr>
  </w:style>
  <w:style w:type="paragraph" w:styleId="BodyText3">
    <w:name w:val="Body Text 3"/>
    <w:basedOn w:val="Normal"/>
    <w:link w:val="BodyText3Char"/>
    <w:rsid w:val="00A95CCF"/>
    <w:pPr>
      <w:spacing w:after="120"/>
    </w:pPr>
    <w:rPr>
      <w:sz w:val="16"/>
      <w:szCs w:val="16"/>
    </w:rPr>
  </w:style>
  <w:style w:type="character" w:customStyle="1" w:styleId="BodyText3Char">
    <w:name w:val="Body Text 3 Char"/>
    <w:basedOn w:val="DefaultParagraphFont"/>
    <w:link w:val="BodyText3"/>
    <w:rsid w:val="000C4043"/>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A95CCF"/>
    <w:pPr>
      <w:ind w:firstLine="210"/>
    </w:pPr>
  </w:style>
  <w:style w:type="character" w:customStyle="1" w:styleId="BodyTextFirstIndentChar">
    <w:name w:val="Body Text First Indent Char"/>
    <w:basedOn w:val="BodyTextChar"/>
    <w:link w:val="BodyTextFirstIndent"/>
    <w:rsid w:val="000C4043"/>
    <w:rPr>
      <w:rFonts w:ascii="Times New Roman" w:eastAsia="Times New Roman" w:hAnsi="Times New Roman" w:cs="Times New Roman"/>
      <w:sz w:val="24"/>
      <w:szCs w:val="20"/>
    </w:rPr>
  </w:style>
  <w:style w:type="paragraph" w:styleId="BodyTextIndent">
    <w:name w:val="Body Text Indent"/>
    <w:basedOn w:val="Normal"/>
    <w:link w:val="BodyTextIndentChar"/>
    <w:rsid w:val="00A95CCF"/>
    <w:pPr>
      <w:spacing w:after="120"/>
      <w:ind w:left="283"/>
    </w:pPr>
  </w:style>
  <w:style w:type="character" w:customStyle="1" w:styleId="BodyTextIndentChar">
    <w:name w:val="Body Text Indent Char"/>
    <w:basedOn w:val="DefaultParagraphFont"/>
    <w:link w:val="BodyTextIndent"/>
    <w:rsid w:val="000C4043"/>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A95CCF"/>
    <w:pPr>
      <w:ind w:firstLine="210"/>
    </w:pPr>
  </w:style>
  <w:style w:type="character" w:customStyle="1" w:styleId="BodyTextFirstIndent2Char">
    <w:name w:val="Body Text First Indent 2 Char"/>
    <w:basedOn w:val="BodyTextIndentChar"/>
    <w:link w:val="BodyTextFirstIndent2"/>
    <w:rsid w:val="000C4043"/>
    <w:rPr>
      <w:rFonts w:ascii="Times New Roman" w:eastAsia="Times New Roman" w:hAnsi="Times New Roman" w:cs="Times New Roman"/>
      <w:sz w:val="24"/>
      <w:szCs w:val="20"/>
    </w:rPr>
  </w:style>
  <w:style w:type="paragraph" w:styleId="BodyTextIndent2">
    <w:name w:val="Body Text Indent 2"/>
    <w:basedOn w:val="Normal"/>
    <w:link w:val="BodyTextIndent2Char"/>
    <w:rsid w:val="00A95CCF"/>
    <w:pPr>
      <w:spacing w:after="120" w:line="480" w:lineRule="auto"/>
      <w:ind w:left="283"/>
    </w:pPr>
  </w:style>
  <w:style w:type="character" w:customStyle="1" w:styleId="BodyTextIndent2Char">
    <w:name w:val="Body Text Indent 2 Char"/>
    <w:basedOn w:val="DefaultParagraphFont"/>
    <w:link w:val="BodyTextIndent2"/>
    <w:rsid w:val="000C4043"/>
    <w:rPr>
      <w:rFonts w:ascii="Times New Roman" w:eastAsia="Times New Roman" w:hAnsi="Times New Roman" w:cs="Times New Roman"/>
      <w:sz w:val="24"/>
      <w:szCs w:val="20"/>
    </w:rPr>
  </w:style>
  <w:style w:type="paragraph" w:styleId="BodyTextIndent3">
    <w:name w:val="Body Text Indent 3"/>
    <w:basedOn w:val="Normal"/>
    <w:link w:val="BodyTextIndent3Char"/>
    <w:rsid w:val="00A95CCF"/>
    <w:pPr>
      <w:spacing w:after="120"/>
      <w:ind w:left="283"/>
    </w:pPr>
    <w:rPr>
      <w:sz w:val="16"/>
      <w:szCs w:val="16"/>
    </w:rPr>
  </w:style>
  <w:style w:type="character" w:customStyle="1" w:styleId="BodyTextIndent3Char">
    <w:name w:val="Body Text Indent 3 Char"/>
    <w:basedOn w:val="DefaultParagraphFont"/>
    <w:link w:val="BodyTextIndent3"/>
    <w:rsid w:val="000C4043"/>
    <w:rPr>
      <w:rFonts w:ascii="Times New Roman" w:eastAsia="Times New Roman" w:hAnsi="Times New Roman" w:cs="Times New Roman"/>
      <w:sz w:val="16"/>
      <w:szCs w:val="16"/>
    </w:rPr>
  </w:style>
  <w:style w:type="paragraph" w:styleId="Caption">
    <w:name w:val="caption"/>
    <w:basedOn w:val="Normal"/>
    <w:next w:val="Normal"/>
    <w:qFormat/>
    <w:rsid w:val="00A95CCF"/>
    <w:rPr>
      <w:b/>
      <w:bCs/>
      <w:sz w:val="20"/>
    </w:rPr>
  </w:style>
  <w:style w:type="paragraph" w:styleId="Closing">
    <w:name w:val="Closing"/>
    <w:basedOn w:val="Normal"/>
    <w:link w:val="ClosingChar"/>
    <w:rsid w:val="00A95CCF"/>
    <w:pPr>
      <w:ind w:left="4252"/>
    </w:pPr>
  </w:style>
  <w:style w:type="character" w:customStyle="1" w:styleId="ClosingChar">
    <w:name w:val="Closing Char"/>
    <w:basedOn w:val="DefaultParagraphFont"/>
    <w:link w:val="Closing"/>
    <w:rsid w:val="000C4043"/>
    <w:rPr>
      <w:rFonts w:ascii="Times New Roman" w:eastAsia="Times New Roman" w:hAnsi="Times New Roman" w:cs="Times New Roman"/>
      <w:sz w:val="24"/>
      <w:szCs w:val="20"/>
    </w:rPr>
  </w:style>
  <w:style w:type="table" w:styleId="ColorfulGrid">
    <w:name w:val="Colorful Grid"/>
    <w:basedOn w:val="TableNormal"/>
    <w:uiPriority w:val="99"/>
    <w:semiHidden/>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C4043"/>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C4043"/>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C4043"/>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C4043"/>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C4043"/>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C4043"/>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C4043"/>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rsid w:val="00A95CCF"/>
  </w:style>
  <w:style w:type="character" w:customStyle="1" w:styleId="DateChar">
    <w:name w:val="Date Char"/>
    <w:basedOn w:val="DefaultParagraphFont"/>
    <w:link w:val="Date"/>
    <w:rsid w:val="000C4043"/>
    <w:rPr>
      <w:rFonts w:ascii="Times New Roman" w:eastAsia="Times New Roman" w:hAnsi="Times New Roman" w:cs="Times New Roman"/>
      <w:sz w:val="24"/>
      <w:szCs w:val="20"/>
    </w:rPr>
  </w:style>
  <w:style w:type="paragraph" w:styleId="E-mailSignature">
    <w:name w:val="E-mail Signature"/>
    <w:basedOn w:val="Normal"/>
    <w:link w:val="E-mailSignatureChar"/>
    <w:rsid w:val="00A95CCF"/>
  </w:style>
  <w:style w:type="character" w:customStyle="1" w:styleId="E-mailSignatureChar">
    <w:name w:val="E-mail Signature Char"/>
    <w:basedOn w:val="DefaultParagraphFont"/>
    <w:link w:val="E-mailSignature"/>
    <w:rsid w:val="000C4043"/>
    <w:rPr>
      <w:rFonts w:ascii="Times New Roman" w:eastAsia="Times New Roman" w:hAnsi="Times New Roman" w:cs="Times New Roman"/>
      <w:sz w:val="24"/>
      <w:szCs w:val="20"/>
    </w:rPr>
  </w:style>
  <w:style w:type="paragraph" w:styleId="EnvelopeAddress">
    <w:name w:val="envelope address"/>
    <w:basedOn w:val="Normal"/>
    <w:rsid w:val="00A95CC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A95CCF"/>
    <w:rPr>
      <w:rFonts w:ascii="Arial" w:hAnsi="Arial" w:cs="Arial"/>
      <w:sz w:val="20"/>
    </w:rPr>
  </w:style>
  <w:style w:type="character" w:styleId="HTMLAcronym">
    <w:name w:val="HTML Acronym"/>
    <w:basedOn w:val="DefaultParagraphFont"/>
    <w:rsid w:val="00A95CCF"/>
    <w:rPr>
      <w:rFonts w:ascii="Times New Roman" w:hAnsi="Times New Roman" w:cs="Times New Roman"/>
    </w:rPr>
  </w:style>
  <w:style w:type="paragraph" w:styleId="HTMLAddress">
    <w:name w:val="HTML Address"/>
    <w:basedOn w:val="Normal"/>
    <w:link w:val="HTMLAddressChar"/>
    <w:rsid w:val="00A95CCF"/>
    <w:rPr>
      <w:i/>
      <w:iCs/>
    </w:rPr>
  </w:style>
  <w:style w:type="character" w:customStyle="1" w:styleId="HTMLAddressChar">
    <w:name w:val="HTML Address Char"/>
    <w:basedOn w:val="DefaultParagraphFont"/>
    <w:link w:val="HTMLAddress"/>
    <w:rsid w:val="000C4043"/>
    <w:rPr>
      <w:rFonts w:ascii="Times New Roman" w:eastAsia="Times New Roman" w:hAnsi="Times New Roman" w:cs="Times New Roman"/>
      <w:i/>
      <w:iCs/>
      <w:sz w:val="24"/>
      <w:szCs w:val="20"/>
    </w:rPr>
  </w:style>
  <w:style w:type="character" w:styleId="HTMLCite">
    <w:name w:val="HTML Cite"/>
    <w:basedOn w:val="DefaultParagraphFont"/>
    <w:rsid w:val="00A95CCF"/>
    <w:rPr>
      <w:rFonts w:ascii="Times New Roman" w:hAnsi="Times New Roman" w:cs="Times New Roman"/>
      <w:i/>
      <w:iCs/>
    </w:rPr>
  </w:style>
  <w:style w:type="character" w:styleId="HTMLCode">
    <w:name w:val="HTML Code"/>
    <w:basedOn w:val="DefaultParagraphFont"/>
    <w:rsid w:val="00A95CCF"/>
    <w:rPr>
      <w:rFonts w:ascii="Courier New" w:hAnsi="Courier New" w:cs="Courier New"/>
      <w:sz w:val="20"/>
      <w:szCs w:val="20"/>
    </w:rPr>
  </w:style>
  <w:style w:type="character" w:styleId="HTMLDefinition">
    <w:name w:val="HTML Definition"/>
    <w:basedOn w:val="DefaultParagraphFont"/>
    <w:rsid w:val="00A95CCF"/>
    <w:rPr>
      <w:rFonts w:ascii="Times New Roman" w:hAnsi="Times New Roman" w:cs="Times New Roman"/>
      <w:i/>
      <w:iCs/>
    </w:rPr>
  </w:style>
  <w:style w:type="character" w:styleId="HTMLKeyboard">
    <w:name w:val="HTML Keyboard"/>
    <w:basedOn w:val="DefaultParagraphFont"/>
    <w:rsid w:val="00A95CCF"/>
    <w:rPr>
      <w:rFonts w:ascii="Courier New" w:hAnsi="Courier New" w:cs="Courier New"/>
      <w:sz w:val="20"/>
      <w:szCs w:val="20"/>
    </w:rPr>
  </w:style>
  <w:style w:type="paragraph" w:styleId="HTMLPreformatted">
    <w:name w:val="HTML Preformatted"/>
    <w:basedOn w:val="Normal"/>
    <w:link w:val="HTMLPreformattedChar"/>
    <w:rsid w:val="00A95CCF"/>
    <w:rPr>
      <w:rFonts w:ascii="Courier New" w:hAnsi="Courier New" w:cs="Courier New"/>
      <w:sz w:val="20"/>
    </w:rPr>
  </w:style>
  <w:style w:type="character" w:customStyle="1" w:styleId="HTMLPreformattedChar">
    <w:name w:val="HTML Preformatted Char"/>
    <w:basedOn w:val="DefaultParagraphFont"/>
    <w:link w:val="HTMLPreformatted"/>
    <w:rsid w:val="000C4043"/>
    <w:rPr>
      <w:rFonts w:ascii="Courier New" w:eastAsia="Times New Roman" w:hAnsi="Courier New" w:cs="Courier New"/>
      <w:sz w:val="20"/>
      <w:szCs w:val="20"/>
    </w:rPr>
  </w:style>
  <w:style w:type="character" w:styleId="HTMLSample">
    <w:name w:val="HTML Sample"/>
    <w:basedOn w:val="DefaultParagraphFont"/>
    <w:rsid w:val="00A95CCF"/>
    <w:rPr>
      <w:rFonts w:ascii="Courier New" w:hAnsi="Courier New" w:cs="Courier New"/>
    </w:rPr>
  </w:style>
  <w:style w:type="character" w:styleId="HTMLTypewriter">
    <w:name w:val="HTML Typewriter"/>
    <w:basedOn w:val="DefaultParagraphFont"/>
    <w:rsid w:val="00A95CCF"/>
    <w:rPr>
      <w:rFonts w:ascii="Courier New" w:hAnsi="Courier New" w:cs="Courier New"/>
      <w:sz w:val="20"/>
      <w:szCs w:val="20"/>
    </w:rPr>
  </w:style>
  <w:style w:type="character" w:styleId="HTMLVariable">
    <w:name w:val="HTML Variable"/>
    <w:basedOn w:val="DefaultParagraphFont"/>
    <w:rsid w:val="00A95CCF"/>
    <w:rPr>
      <w:rFonts w:ascii="Times New Roman" w:hAnsi="Times New Roman" w:cs="Times New Roman"/>
      <w:i/>
      <w:iCs/>
    </w:rPr>
  </w:style>
  <w:style w:type="paragraph" w:styleId="Index1">
    <w:name w:val="index 1"/>
    <w:basedOn w:val="Normal"/>
    <w:next w:val="Normal"/>
    <w:autoRedefine/>
    <w:semiHidden/>
    <w:rsid w:val="00A95CCF"/>
    <w:pPr>
      <w:ind w:left="240" w:hanging="240"/>
    </w:pPr>
  </w:style>
  <w:style w:type="paragraph" w:styleId="Index2">
    <w:name w:val="index 2"/>
    <w:basedOn w:val="Normal"/>
    <w:next w:val="Normal"/>
    <w:autoRedefine/>
    <w:semiHidden/>
    <w:rsid w:val="00A95CCF"/>
    <w:pPr>
      <w:ind w:left="480" w:hanging="240"/>
    </w:pPr>
  </w:style>
  <w:style w:type="paragraph" w:styleId="Index3">
    <w:name w:val="index 3"/>
    <w:basedOn w:val="Normal"/>
    <w:next w:val="Normal"/>
    <w:autoRedefine/>
    <w:semiHidden/>
    <w:rsid w:val="00A95CCF"/>
    <w:pPr>
      <w:ind w:left="720" w:hanging="240"/>
    </w:pPr>
  </w:style>
  <w:style w:type="paragraph" w:styleId="Index4">
    <w:name w:val="index 4"/>
    <w:basedOn w:val="Normal"/>
    <w:next w:val="Normal"/>
    <w:autoRedefine/>
    <w:semiHidden/>
    <w:rsid w:val="00A95CCF"/>
    <w:pPr>
      <w:ind w:left="960" w:hanging="240"/>
    </w:pPr>
  </w:style>
  <w:style w:type="paragraph" w:styleId="Index5">
    <w:name w:val="index 5"/>
    <w:basedOn w:val="Normal"/>
    <w:next w:val="Normal"/>
    <w:autoRedefine/>
    <w:semiHidden/>
    <w:rsid w:val="00A95CCF"/>
    <w:pPr>
      <w:ind w:left="1200" w:hanging="240"/>
    </w:pPr>
  </w:style>
  <w:style w:type="paragraph" w:styleId="Index6">
    <w:name w:val="index 6"/>
    <w:basedOn w:val="Normal"/>
    <w:next w:val="Normal"/>
    <w:autoRedefine/>
    <w:semiHidden/>
    <w:rsid w:val="00A95CCF"/>
    <w:pPr>
      <w:ind w:left="1440" w:hanging="240"/>
    </w:pPr>
  </w:style>
  <w:style w:type="paragraph" w:styleId="Index7">
    <w:name w:val="index 7"/>
    <w:basedOn w:val="Normal"/>
    <w:next w:val="Normal"/>
    <w:autoRedefine/>
    <w:semiHidden/>
    <w:rsid w:val="00A95CCF"/>
    <w:pPr>
      <w:ind w:left="1680" w:hanging="240"/>
    </w:pPr>
  </w:style>
  <w:style w:type="paragraph" w:styleId="Index8">
    <w:name w:val="index 8"/>
    <w:basedOn w:val="Normal"/>
    <w:next w:val="Normal"/>
    <w:autoRedefine/>
    <w:semiHidden/>
    <w:rsid w:val="00A95CCF"/>
    <w:pPr>
      <w:ind w:left="1920" w:hanging="240"/>
    </w:pPr>
  </w:style>
  <w:style w:type="paragraph" w:styleId="Index9">
    <w:name w:val="index 9"/>
    <w:basedOn w:val="Normal"/>
    <w:next w:val="Normal"/>
    <w:autoRedefine/>
    <w:semiHidden/>
    <w:rsid w:val="00A95CCF"/>
    <w:pPr>
      <w:ind w:left="2160" w:hanging="240"/>
    </w:pPr>
  </w:style>
  <w:style w:type="paragraph" w:styleId="IndexHeading">
    <w:name w:val="index heading"/>
    <w:basedOn w:val="Normal"/>
    <w:next w:val="Index1"/>
    <w:semiHidden/>
    <w:rsid w:val="00A95CCF"/>
    <w:rPr>
      <w:rFonts w:ascii="Arial" w:hAnsi="Arial" w:cs="Arial"/>
      <w:b/>
      <w:bCs/>
    </w:rPr>
  </w:style>
  <w:style w:type="table" w:styleId="LightGrid">
    <w:name w:val="Light Grid"/>
    <w:basedOn w:val="TableNormal"/>
    <w:uiPriority w:val="99"/>
    <w:semiHidden/>
    <w:rsid w:val="000C404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C4043"/>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C4043"/>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C4043"/>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C4043"/>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C4043"/>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C4043"/>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C404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C4043"/>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C4043"/>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C4043"/>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C4043"/>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C4043"/>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C4043"/>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C404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C4043"/>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C4043"/>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C4043"/>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C4043"/>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C4043"/>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C4043"/>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rsid w:val="00A95CCF"/>
    <w:rPr>
      <w:rFonts w:ascii="Times New Roman" w:hAnsi="Times New Roman" w:cs="Times New Roman"/>
    </w:rPr>
  </w:style>
  <w:style w:type="paragraph" w:styleId="List">
    <w:name w:val="List"/>
    <w:basedOn w:val="Normal"/>
    <w:rsid w:val="00A95CCF"/>
    <w:pPr>
      <w:ind w:left="283" w:hanging="283"/>
    </w:pPr>
  </w:style>
  <w:style w:type="paragraph" w:styleId="List2">
    <w:name w:val="List 2"/>
    <w:basedOn w:val="Normal"/>
    <w:rsid w:val="00A95CCF"/>
    <w:pPr>
      <w:ind w:left="566" w:hanging="283"/>
    </w:pPr>
  </w:style>
  <w:style w:type="paragraph" w:styleId="List3">
    <w:name w:val="List 3"/>
    <w:basedOn w:val="Normal"/>
    <w:rsid w:val="00A95CCF"/>
    <w:pPr>
      <w:ind w:left="849" w:hanging="283"/>
    </w:pPr>
  </w:style>
  <w:style w:type="paragraph" w:styleId="List4">
    <w:name w:val="List 4"/>
    <w:basedOn w:val="Normal"/>
    <w:rsid w:val="00A95CCF"/>
    <w:pPr>
      <w:ind w:left="1132" w:hanging="283"/>
    </w:pPr>
  </w:style>
  <w:style w:type="paragraph" w:styleId="List5">
    <w:name w:val="List 5"/>
    <w:basedOn w:val="Normal"/>
    <w:rsid w:val="00A95CCF"/>
    <w:pPr>
      <w:ind w:left="1415" w:hanging="283"/>
    </w:pPr>
  </w:style>
  <w:style w:type="paragraph" w:styleId="ListBullet2">
    <w:name w:val="List Bullet 2"/>
    <w:basedOn w:val="Normal"/>
    <w:rsid w:val="00A95CCF"/>
    <w:pPr>
      <w:numPr>
        <w:numId w:val="5"/>
      </w:numPr>
    </w:pPr>
  </w:style>
  <w:style w:type="paragraph" w:styleId="ListBullet3">
    <w:name w:val="List Bullet 3"/>
    <w:basedOn w:val="Normal"/>
    <w:rsid w:val="00A95CCF"/>
    <w:pPr>
      <w:numPr>
        <w:numId w:val="6"/>
      </w:numPr>
    </w:pPr>
  </w:style>
  <w:style w:type="paragraph" w:styleId="ListBullet4">
    <w:name w:val="List Bullet 4"/>
    <w:basedOn w:val="Normal"/>
    <w:rsid w:val="00A95CCF"/>
    <w:pPr>
      <w:numPr>
        <w:numId w:val="7"/>
      </w:numPr>
    </w:pPr>
  </w:style>
  <w:style w:type="paragraph" w:styleId="ListBullet5">
    <w:name w:val="List Bullet 5"/>
    <w:basedOn w:val="Normal"/>
    <w:rsid w:val="00A95CCF"/>
    <w:pPr>
      <w:numPr>
        <w:numId w:val="8"/>
      </w:numPr>
    </w:pPr>
  </w:style>
  <w:style w:type="paragraph" w:styleId="ListContinue">
    <w:name w:val="List Continue"/>
    <w:basedOn w:val="Normal"/>
    <w:rsid w:val="00A95CCF"/>
    <w:pPr>
      <w:spacing w:after="120"/>
      <w:ind w:left="283"/>
    </w:pPr>
  </w:style>
  <w:style w:type="paragraph" w:styleId="ListContinue2">
    <w:name w:val="List Continue 2"/>
    <w:basedOn w:val="Normal"/>
    <w:rsid w:val="00A95CCF"/>
    <w:pPr>
      <w:spacing w:after="120"/>
      <w:ind w:left="566"/>
    </w:pPr>
  </w:style>
  <w:style w:type="paragraph" w:styleId="ListContinue3">
    <w:name w:val="List Continue 3"/>
    <w:basedOn w:val="Normal"/>
    <w:rsid w:val="00A95CCF"/>
    <w:pPr>
      <w:spacing w:after="120"/>
      <w:ind w:left="849"/>
    </w:pPr>
  </w:style>
  <w:style w:type="paragraph" w:styleId="ListContinue4">
    <w:name w:val="List Continue 4"/>
    <w:basedOn w:val="Normal"/>
    <w:rsid w:val="00A95CCF"/>
    <w:pPr>
      <w:spacing w:after="120"/>
      <w:ind w:left="1132"/>
    </w:pPr>
  </w:style>
  <w:style w:type="paragraph" w:styleId="ListContinue5">
    <w:name w:val="List Continue 5"/>
    <w:basedOn w:val="Normal"/>
    <w:rsid w:val="00A95CCF"/>
    <w:pPr>
      <w:spacing w:after="120"/>
      <w:ind w:left="1415"/>
    </w:pPr>
  </w:style>
  <w:style w:type="paragraph" w:styleId="ListNumber">
    <w:name w:val="List Number"/>
    <w:basedOn w:val="Normal"/>
    <w:rsid w:val="00A95CCF"/>
    <w:pPr>
      <w:numPr>
        <w:numId w:val="9"/>
      </w:numPr>
    </w:pPr>
  </w:style>
  <w:style w:type="paragraph" w:styleId="ListNumber2">
    <w:name w:val="List Number 2"/>
    <w:basedOn w:val="Normal"/>
    <w:rsid w:val="00A95CCF"/>
    <w:pPr>
      <w:numPr>
        <w:numId w:val="10"/>
      </w:numPr>
    </w:pPr>
  </w:style>
  <w:style w:type="paragraph" w:styleId="ListNumber3">
    <w:name w:val="List Number 3"/>
    <w:basedOn w:val="Normal"/>
    <w:rsid w:val="00A95CCF"/>
    <w:pPr>
      <w:numPr>
        <w:numId w:val="11"/>
      </w:numPr>
    </w:pPr>
  </w:style>
  <w:style w:type="paragraph" w:styleId="ListNumber4">
    <w:name w:val="List Number 4"/>
    <w:basedOn w:val="Normal"/>
    <w:rsid w:val="00A95CCF"/>
    <w:pPr>
      <w:numPr>
        <w:numId w:val="12"/>
      </w:numPr>
    </w:pPr>
  </w:style>
  <w:style w:type="paragraph" w:styleId="ListNumber5">
    <w:name w:val="List Number 5"/>
    <w:basedOn w:val="Normal"/>
    <w:rsid w:val="00A95CCF"/>
    <w:pPr>
      <w:numPr>
        <w:numId w:val="13"/>
      </w:numPr>
    </w:pPr>
  </w:style>
  <w:style w:type="paragraph" w:styleId="MacroText">
    <w:name w:val="macro"/>
    <w:link w:val="MacroTextChar"/>
    <w:semiHidden/>
    <w:rsid w:val="00A95CCF"/>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0C4043"/>
    <w:rPr>
      <w:rFonts w:ascii="Courier New" w:eastAsia="Times New Roman" w:hAnsi="Courier New" w:cs="Courier New"/>
      <w:sz w:val="20"/>
      <w:szCs w:val="20"/>
    </w:rPr>
  </w:style>
  <w:style w:type="table" w:styleId="MediumGrid1">
    <w:name w:val="Medium Grid 1"/>
    <w:basedOn w:val="TableNormal"/>
    <w:uiPriority w:val="99"/>
    <w:semiHidden/>
    <w:rsid w:val="000C404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C4043"/>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C4043"/>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C4043"/>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C4043"/>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C4043"/>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C4043"/>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C404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C4043"/>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C4043"/>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C4043"/>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C4043"/>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C4043"/>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C4043"/>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C404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C4043"/>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C4043"/>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C4043"/>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C4043"/>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C4043"/>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C4043"/>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A95CC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rsid w:val="000C4043"/>
    <w:rPr>
      <w:rFonts w:ascii="Arial" w:eastAsia="Times New Roman" w:hAnsi="Arial" w:cs="Arial"/>
      <w:sz w:val="24"/>
      <w:szCs w:val="24"/>
      <w:shd w:val="pct20" w:color="auto" w:fill="auto"/>
    </w:rPr>
  </w:style>
  <w:style w:type="paragraph" w:styleId="NormalWeb">
    <w:name w:val="Normal (Web)"/>
    <w:basedOn w:val="Normal"/>
    <w:rsid w:val="00A95CCF"/>
    <w:rPr>
      <w:szCs w:val="24"/>
    </w:rPr>
  </w:style>
  <w:style w:type="paragraph" w:styleId="NormalIndent">
    <w:name w:val="Normal Indent"/>
    <w:basedOn w:val="Normal"/>
    <w:rsid w:val="00A95CCF"/>
    <w:pPr>
      <w:ind w:left="720"/>
    </w:pPr>
  </w:style>
  <w:style w:type="paragraph" w:styleId="NoteHeading">
    <w:name w:val="Note Heading"/>
    <w:basedOn w:val="Normal"/>
    <w:next w:val="Normal"/>
    <w:link w:val="NoteHeadingChar"/>
    <w:rsid w:val="00A95CCF"/>
  </w:style>
  <w:style w:type="character" w:customStyle="1" w:styleId="NoteHeadingChar">
    <w:name w:val="Note Heading Char"/>
    <w:basedOn w:val="DefaultParagraphFont"/>
    <w:link w:val="NoteHeading"/>
    <w:rsid w:val="000C4043"/>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0C4043"/>
    <w:rPr>
      <w:rFonts w:ascii="Times New Roman" w:hAnsi="Times New Roman" w:cs="Times New Roman"/>
      <w:color w:val="808080"/>
    </w:rPr>
  </w:style>
  <w:style w:type="paragraph" w:styleId="PlainText">
    <w:name w:val="Plain Text"/>
    <w:basedOn w:val="Normal"/>
    <w:link w:val="PlainTextChar"/>
    <w:rsid w:val="00A95CCF"/>
    <w:rPr>
      <w:rFonts w:ascii="Courier New" w:hAnsi="Courier New" w:cs="Courier New"/>
      <w:sz w:val="20"/>
    </w:rPr>
  </w:style>
  <w:style w:type="character" w:customStyle="1" w:styleId="PlainTextChar">
    <w:name w:val="Plain Text Char"/>
    <w:basedOn w:val="DefaultParagraphFont"/>
    <w:link w:val="PlainText"/>
    <w:rsid w:val="000C4043"/>
    <w:rPr>
      <w:rFonts w:ascii="Courier New" w:eastAsia="Times New Roman" w:hAnsi="Courier New" w:cs="Courier New"/>
      <w:sz w:val="20"/>
      <w:szCs w:val="20"/>
    </w:rPr>
  </w:style>
  <w:style w:type="paragraph" w:styleId="Salutation">
    <w:name w:val="Salutation"/>
    <w:basedOn w:val="Normal"/>
    <w:next w:val="Normal"/>
    <w:link w:val="SalutationChar"/>
    <w:rsid w:val="00A95CCF"/>
  </w:style>
  <w:style w:type="character" w:customStyle="1" w:styleId="SalutationChar">
    <w:name w:val="Salutation Char"/>
    <w:basedOn w:val="DefaultParagraphFont"/>
    <w:link w:val="Salutation"/>
    <w:rsid w:val="000C4043"/>
    <w:rPr>
      <w:rFonts w:ascii="Times New Roman" w:eastAsia="Times New Roman" w:hAnsi="Times New Roman" w:cs="Times New Roman"/>
      <w:sz w:val="24"/>
      <w:szCs w:val="20"/>
    </w:rPr>
  </w:style>
  <w:style w:type="paragraph" w:styleId="Signature">
    <w:name w:val="Signature"/>
    <w:basedOn w:val="Normal"/>
    <w:link w:val="SignatureChar"/>
    <w:rsid w:val="00A95CCF"/>
    <w:pPr>
      <w:ind w:left="4252"/>
    </w:pPr>
  </w:style>
  <w:style w:type="character" w:customStyle="1" w:styleId="SignatureChar">
    <w:name w:val="Signature Char"/>
    <w:basedOn w:val="DefaultParagraphFont"/>
    <w:link w:val="Signature"/>
    <w:rsid w:val="000C4043"/>
    <w:rPr>
      <w:rFonts w:ascii="Times New Roman" w:eastAsia="Times New Roman" w:hAnsi="Times New Roman" w:cs="Times New Roman"/>
      <w:sz w:val="24"/>
      <w:szCs w:val="20"/>
    </w:rPr>
  </w:style>
  <w:style w:type="table" w:styleId="Table3Deffects1">
    <w:name w:val="Table 3D effects 1"/>
    <w:basedOn w:val="TableNormal"/>
    <w:rsid w:val="00A95CCF"/>
    <w:pPr>
      <w:suppressAutoHyphens/>
    </w:pPr>
    <w:rPr>
      <w:rFonts w:ascii="Times New Roman" w:eastAsia="Times New Roman" w:hAnsi="Times New Roman" w:cs="Times New Roman"/>
      <w:sz w:val="20"/>
      <w:szCs w:val="20"/>
      <w:lang w:val="en-US"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95CCF"/>
    <w:pPr>
      <w:suppressAutoHyphens/>
    </w:pPr>
    <w:rPr>
      <w:rFonts w:ascii="Times New Roman" w:eastAsia="Times New Roman" w:hAnsi="Times New Roman" w:cs="Times New Roman"/>
      <w:sz w:val="20"/>
      <w:szCs w:val="20"/>
      <w:lang w:val="en-US"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95CCF"/>
    <w:pPr>
      <w:suppressAutoHyphens/>
    </w:pPr>
    <w:rPr>
      <w:rFonts w:ascii="Times New Roman" w:eastAsia="Times New Roman" w:hAnsi="Times New Roman" w:cs="Times New Roman"/>
      <w:sz w:val="20"/>
      <w:szCs w:val="20"/>
      <w:lang w:val="en-US"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95CCF"/>
    <w:pPr>
      <w:suppressAutoHyphens/>
    </w:pPr>
    <w:rPr>
      <w:rFonts w:ascii="Times New Roman" w:eastAsia="Times New Roman" w:hAnsi="Times New Roman" w:cs="Times New Roman"/>
      <w:sz w:val="20"/>
      <w:szCs w:val="20"/>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95CCF"/>
    <w:pPr>
      <w:suppressAutoHyphens/>
    </w:pPr>
    <w:rPr>
      <w:rFonts w:ascii="Times New Roman" w:eastAsia="Times New Roman" w:hAnsi="Times New Roman" w:cs="Times New Roman"/>
      <w:sz w:val="20"/>
      <w:szCs w:val="20"/>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95CCF"/>
    <w:pPr>
      <w:suppressAutoHyphens/>
    </w:pPr>
    <w:rPr>
      <w:rFonts w:ascii="Times New Roman" w:eastAsia="Times New Roman" w:hAnsi="Times New Roman" w:cs="Times New Roman"/>
      <w:color w:val="000080"/>
      <w:sz w:val="20"/>
      <w:szCs w:val="20"/>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95CCF"/>
    <w:pPr>
      <w:suppressAutoHyphens/>
    </w:pPr>
    <w:rPr>
      <w:rFonts w:ascii="Times New Roman" w:eastAsia="Times New Roman" w:hAnsi="Times New Roman" w:cs="Times New Roman"/>
      <w:sz w:val="20"/>
      <w:szCs w:val="20"/>
      <w:lang w:val="en-US"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95CCF"/>
    <w:pPr>
      <w:suppressAutoHyphens/>
    </w:pPr>
    <w:rPr>
      <w:rFonts w:ascii="Times New Roman" w:eastAsia="Times New Roman" w:hAnsi="Times New Roman" w:cs="Times New Roman"/>
      <w:color w:val="FFFFFF"/>
      <w:sz w:val="20"/>
      <w:szCs w:val="20"/>
      <w:lang w:val="en-US"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95CCF"/>
    <w:pPr>
      <w:suppressAutoHyphens/>
    </w:pPr>
    <w:rPr>
      <w:rFonts w:ascii="Times New Roman" w:eastAsia="Times New Roman" w:hAnsi="Times New Roman" w:cs="Times New Roman"/>
      <w:sz w:val="20"/>
      <w:szCs w:val="20"/>
      <w:lang w:val="en-US"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95CCF"/>
    <w:pPr>
      <w:suppressAutoHyphens/>
    </w:pPr>
    <w:rPr>
      <w:rFonts w:ascii="Times New Roman" w:eastAsia="Times New Roman" w:hAnsi="Times New Roman" w:cs="Times New Roman"/>
      <w:sz w:val="20"/>
      <w:szCs w:val="20"/>
      <w:lang w:val="en-US"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95CCF"/>
    <w:pPr>
      <w:suppressAutoHyphens/>
    </w:pPr>
    <w:rPr>
      <w:rFonts w:ascii="Times New Roman" w:eastAsia="Times New Roman" w:hAnsi="Times New Roman" w:cs="Times New Roman"/>
      <w:b/>
      <w:bCs/>
      <w:sz w:val="20"/>
      <w:szCs w:val="20"/>
      <w:lang w:val="en-US"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95CCF"/>
    <w:pPr>
      <w:suppressAutoHyphens/>
    </w:pPr>
    <w:rPr>
      <w:rFonts w:ascii="Times New Roman" w:eastAsia="Times New Roman" w:hAnsi="Times New Roman" w:cs="Times New Roman"/>
      <w:b/>
      <w:bCs/>
      <w:sz w:val="20"/>
      <w:szCs w:val="20"/>
      <w:lang w:val="en-US"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95CCF"/>
    <w:pPr>
      <w:suppressAutoHyphens/>
    </w:pPr>
    <w:rPr>
      <w:rFonts w:ascii="Times New Roman" w:eastAsia="Times New Roman" w:hAnsi="Times New Roman" w:cs="Times New Roman"/>
      <w:b/>
      <w:bCs/>
      <w:sz w:val="20"/>
      <w:szCs w:val="20"/>
      <w:lang w:val="en-US"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95CCF"/>
    <w:pPr>
      <w:suppressAutoHyphens/>
    </w:pPr>
    <w:rPr>
      <w:rFonts w:ascii="Times New Roman" w:eastAsia="Times New Roman" w:hAnsi="Times New Roman" w:cs="Times New Roman"/>
      <w:sz w:val="20"/>
      <w:szCs w:val="20"/>
      <w:lang w:val="en-US"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95CCF"/>
    <w:pPr>
      <w:suppressAutoHyphens/>
    </w:pPr>
    <w:rPr>
      <w:rFonts w:ascii="Times New Roman" w:eastAsia="Times New Roman" w:hAnsi="Times New Roman" w:cs="Times New Roman"/>
      <w:sz w:val="20"/>
      <w:szCs w:val="20"/>
      <w:lang w:val="en-US"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95CCF"/>
    <w:pPr>
      <w:suppressAutoHyphens/>
    </w:pPr>
    <w:rPr>
      <w:rFonts w:ascii="Times New Roman" w:eastAsia="Times New Roman" w:hAnsi="Times New Roman" w:cs="Times New Roman"/>
      <w:sz w:val="20"/>
      <w:szCs w:val="20"/>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95CCF"/>
    <w:pPr>
      <w:suppressAutoHyphens/>
    </w:pPr>
    <w:rPr>
      <w:rFonts w:ascii="Times New Roman" w:eastAsia="Times New Roman" w:hAnsi="Times New Roman" w:cs="Times New Roman"/>
      <w:sz w:val="20"/>
      <w:szCs w:val="20"/>
      <w:lang w:val="en-US"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95CCF"/>
    <w:pPr>
      <w:suppressAutoHyphens/>
    </w:pPr>
    <w:rPr>
      <w:rFonts w:ascii="Times New Roman" w:eastAsia="Times New Roman" w:hAnsi="Times New Roman" w:cs="Times New Roman"/>
      <w:sz w:val="20"/>
      <w:szCs w:val="20"/>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95CCF"/>
    <w:pPr>
      <w:suppressAutoHyphens/>
    </w:pPr>
    <w:rPr>
      <w:rFonts w:ascii="Times New Roman" w:eastAsia="Times New Roman" w:hAnsi="Times New Roman" w:cs="Times New Roman"/>
      <w:sz w:val="20"/>
      <w:szCs w:val="20"/>
      <w:lang w:val="en-US"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95CCF"/>
    <w:pPr>
      <w:suppressAutoHyphens/>
    </w:pPr>
    <w:rPr>
      <w:rFonts w:ascii="Times New Roman" w:eastAsia="Times New Roman" w:hAnsi="Times New Roman" w:cs="Times New Roman"/>
      <w:sz w:val="20"/>
      <w:szCs w:val="20"/>
      <w:lang w:val="en-US"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95CCF"/>
    <w:pPr>
      <w:suppressAutoHyphens/>
    </w:pPr>
    <w:rPr>
      <w:rFonts w:ascii="Times New Roman" w:eastAsia="Times New Roman" w:hAnsi="Times New Roman" w:cs="Times New Roman"/>
      <w:sz w:val="20"/>
      <w:szCs w:val="20"/>
      <w:lang w:val="en-US"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95CCF"/>
    <w:pPr>
      <w:suppressAutoHyphens/>
    </w:pPr>
    <w:rPr>
      <w:rFonts w:ascii="Times New Roman" w:eastAsia="Times New Roman" w:hAnsi="Times New Roman" w:cs="Times New Roman"/>
      <w:sz w:val="20"/>
      <w:szCs w:val="20"/>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95CCF"/>
    <w:pPr>
      <w:suppressAutoHyphens/>
    </w:pPr>
    <w:rPr>
      <w:rFonts w:ascii="Times New Roman" w:eastAsia="Times New Roman" w:hAnsi="Times New Roman" w:cs="Times New Roman"/>
      <w:sz w:val="20"/>
      <w:szCs w:val="20"/>
      <w:lang w:val="en-US"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95CCF"/>
    <w:pPr>
      <w:suppressAutoHyphens/>
    </w:pPr>
    <w:rPr>
      <w:rFonts w:ascii="Times New Roman" w:eastAsia="Times New Roman" w:hAnsi="Times New Roman" w:cs="Times New Roman"/>
      <w:b/>
      <w:bCs/>
      <w:sz w:val="20"/>
      <w:szCs w:val="20"/>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95CCF"/>
    <w:pPr>
      <w:suppressAutoHyphens/>
    </w:pPr>
    <w:rPr>
      <w:rFonts w:ascii="Times New Roman" w:eastAsia="Times New Roman" w:hAnsi="Times New Roman" w:cs="Times New Roman"/>
      <w:sz w:val="20"/>
      <w:szCs w:val="20"/>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95CCF"/>
    <w:pPr>
      <w:suppressAutoHyphens/>
    </w:pPr>
    <w:rPr>
      <w:rFonts w:ascii="Times New Roman" w:eastAsia="Times New Roman" w:hAnsi="Times New Roman" w:cs="Times New Roman"/>
      <w:sz w:val="20"/>
      <w:szCs w:val="20"/>
      <w:lang w:val="en-US"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95CCF"/>
    <w:pPr>
      <w:suppressAutoHyphens/>
    </w:pPr>
    <w:rPr>
      <w:rFonts w:ascii="Times New Roman" w:eastAsia="Times New Roman" w:hAnsi="Times New Roman" w:cs="Times New Roman"/>
      <w:sz w:val="20"/>
      <w:szCs w:val="20"/>
      <w:lang w:val="en-US"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95CCF"/>
    <w:pPr>
      <w:suppressAutoHyphens/>
    </w:pPr>
    <w:rPr>
      <w:rFonts w:ascii="Times New Roman" w:eastAsia="Times New Roman" w:hAnsi="Times New Roman" w:cs="Times New Roman"/>
      <w:sz w:val="20"/>
      <w:szCs w:val="20"/>
      <w:lang w:val="en-US"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95CCF"/>
    <w:pPr>
      <w:suppressAutoHyphens/>
    </w:pPr>
    <w:rPr>
      <w:rFonts w:ascii="Times New Roman" w:eastAsia="Times New Roman" w:hAnsi="Times New Roman" w:cs="Times New Roman"/>
      <w:sz w:val="20"/>
      <w:szCs w:val="20"/>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95CCF"/>
    <w:pPr>
      <w:suppressAutoHyphens/>
    </w:pPr>
    <w:rPr>
      <w:rFonts w:ascii="Times New Roman" w:eastAsia="Times New Roman" w:hAnsi="Times New Roman" w:cs="Times New Roman"/>
      <w:sz w:val="20"/>
      <w:szCs w:val="20"/>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95CCF"/>
    <w:pPr>
      <w:suppressAutoHyphens/>
    </w:pPr>
    <w:rPr>
      <w:rFonts w:ascii="Times New Roman" w:eastAsia="Times New Roman" w:hAnsi="Times New Roman" w:cs="Times New Roman"/>
      <w:sz w:val="20"/>
      <w:szCs w:val="20"/>
      <w:lang w:val="en-US"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95CCF"/>
    <w:pPr>
      <w:suppressAutoHyphens/>
    </w:pPr>
    <w:rPr>
      <w:rFonts w:ascii="Times New Roman" w:eastAsia="Times New Roman" w:hAnsi="Times New Roman" w:cs="Times New Roman"/>
      <w:sz w:val="20"/>
      <w:szCs w:val="20"/>
      <w:lang w:val="en-US"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95CCF"/>
    <w:pPr>
      <w:suppressAutoHyphens/>
    </w:pPr>
    <w:rPr>
      <w:rFonts w:ascii="Times New Roman" w:eastAsia="Times New Roman" w:hAnsi="Times New Roman" w:cs="Times New Roman"/>
      <w:sz w:val="20"/>
      <w:szCs w:val="20"/>
      <w:lang w:val="en-US"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95CCF"/>
    <w:pPr>
      <w:ind w:left="240" w:hanging="240"/>
    </w:pPr>
  </w:style>
  <w:style w:type="paragraph" w:styleId="TableofFigures">
    <w:name w:val="table of figures"/>
    <w:basedOn w:val="Normal"/>
    <w:next w:val="Normal"/>
    <w:semiHidden/>
    <w:rsid w:val="00A95CCF"/>
  </w:style>
  <w:style w:type="table" w:styleId="TableProfessional">
    <w:name w:val="Table Professional"/>
    <w:basedOn w:val="TableNormal"/>
    <w:rsid w:val="00A95CCF"/>
    <w:pPr>
      <w:suppressAutoHyphens/>
    </w:pPr>
    <w:rPr>
      <w:rFonts w:ascii="Times New Roman" w:eastAsia="Times New Roman" w:hAnsi="Times New Roman" w:cs="Times New Roman"/>
      <w:sz w:val="20"/>
      <w:szCs w:val="20"/>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95CCF"/>
    <w:pPr>
      <w:suppressAutoHyphens/>
    </w:pPr>
    <w:rPr>
      <w:rFonts w:ascii="Times New Roman" w:eastAsia="Times New Roman" w:hAnsi="Times New Roman" w:cs="Times New Roman"/>
      <w:sz w:val="20"/>
      <w:szCs w:val="20"/>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95CCF"/>
    <w:pPr>
      <w:suppressAutoHyphens/>
    </w:pPr>
    <w:rPr>
      <w:rFonts w:ascii="Times New Roman" w:eastAsia="Times New Roman" w:hAnsi="Times New Roman" w:cs="Times New Roman"/>
      <w:sz w:val="20"/>
      <w:szCs w:val="20"/>
      <w:lang w:val="en-US"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95CCF"/>
    <w:pPr>
      <w:suppressAutoHyphens/>
    </w:pPr>
    <w:rPr>
      <w:rFonts w:ascii="Times New Roman" w:eastAsia="Times New Roman" w:hAnsi="Times New Roman" w:cs="Times New Roman"/>
      <w:sz w:val="20"/>
      <w:szCs w:val="20"/>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95CCF"/>
    <w:pPr>
      <w:suppressAutoHyphens/>
    </w:pPr>
    <w:rPr>
      <w:rFonts w:ascii="Times New Roman" w:eastAsia="Times New Roman" w:hAnsi="Times New Roman" w:cs="Times New Roman"/>
      <w:sz w:val="20"/>
      <w:szCs w:val="20"/>
      <w:lang w:val="en-US"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95CCF"/>
    <w:pPr>
      <w:suppressAutoHyphens/>
    </w:pPr>
    <w:rPr>
      <w:rFonts w:ascii="Times New Roman" w:eastAsia="Times New Roman" w:hAnsi="Times New Roman" w:cs="Times New Roman"/>
      <w:sz w:val="20"/>
      <w:szCs w:val="20"/>
      <w:lang w:val="en-US"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95CCF"/>
    <w:pPr>
      <w:suppressAutoHyphens/>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95CCF"/>
    <w:pPr>
      <w:suppressAutoHyphens/>
    </w:pPr>
    <w:rPr>
      <w:rFonts w:ascii="Times New Roman" w:eastAsia="Times New Roman" w:hAnsi="Times New Roman" w:cs="Times New Roman"/>
      <w:sz w:val="20"/>
      <w:szCs w:val="20"/>
      <w:lang w:val="en-US"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95CCF"/>
    <w:pPr>
      <w:suppressAutoHyphens/>
    </w:pPr>
    <w:rPr>
      <w:rFonts w:ascii="Times New Roman" w:eastAsia="Times New Roman" w:hAnsi="Times New Roman" w:cs="Times New Roman"/>
      <w:sz w:val="20"/>
      <w:szCs w:val="20"/>
      <w:lang w:val="en-US"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95CCF"/>
    <w:pPr>
      <w:suppressAutoHyphens/>
    </w:pPr>
    <w:rPr>
      <w:rFonts w:ascii="Times New Roman" w:eastAsia="Times New Roman" w:hAnsi="Times New Roman" w:cs="Times New Roman"/>
      <w:sz w:val="20"/>
      <w:szCs w:val="20"/>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semiHidden/>
    <w:rsid w:val="00A95CCF"/>
    <w:pPr>
      <w:ind w:left="1200"/>
    </w:pPr>
  </w:style>
  <w:style w:type="paragraph" w:styleId="TOC7">
    <w:name w:val="toc 7"/>
    <w:basedOn w:val="Normal"/>
    <w:next w:val="Normal"/>
    <w:autoRedefine/>
    <w:semiHidden/>
    <w:rsid w:val="00A95CCF"/>
    <w:pPr>
      <w:ind w:left="1440"/>
    </w:pPr>
  </w:style>
  <w:style w:type="paragraph" w:styleId="TOC8">
    <w:name w:val="toc 8"/>
    <w:basedOn w:val="Normal"/>
    <w:next w:val="Normal"/>
    <w:autoRedefine/>
    <w:semiHidden/>
    <w:rsid w:val="00A95CCF"/>
    <w:pPr>
      <w:ind w:left="1680"/>
    </w:pPr>
  </w:style>
  <w:style w:type="paragraph" w:styleId="TOC9">
    <w:name w:val="toc 9"/>
    <w:basedOn w:val="Normal"/>
    <w:next w:val="Normal"/>
    <w:autoRedefine/>
    <w:semiHidden/>
    <w:rsid w:val="00A95CCF"/>
    <w:pPr>
      <w:ind w:left="1920"/>
    </w:pPr>
  </w:style>
  <w:style w:type="paragraph" w:customStyle="1" w:styleId="JuParaChar">
    <w:name w:val="Ju_Para Char"/>
    <w:basedOn w:val="Normal"/>
    <w:link w:val="JuParaCharChar"/>
    <w:rsid w:val="00D81E5B"/>
    <w:pPr>
      <w:ind w:firstLine="284"/>
    </w:pPr>
  </w:style>
  <w:style w:type="character" w:customStyle="1" w:styleId="JuParaCharChar">
    <w:name w:val="Ju_Para Char Char"/>
    <w:link w:val="JuParaChar"/>
    <w:rsid w:val="00D81E5B"/>
    <w:rPr>
      <w:rFonts w:eastAsiaTheme="minorEastAsia"/>
      <w:sz w:val="24"/>
      <w:lang w:val="en-US" w:eastAsia="en-US"/>
    </w:rPr>
  </w:style>
  <w:style w:type="character" w:customStyle="1" w:styleId="sb8d990e2">
    <w:name w:val="sb8d990e2"/>
    <w:rsid w:val="00D81E5B"/>
  </w:style>
  <w:style w:type="character" w:customStyle="1" w:styleId="wordhighlighted">
    <w:name w:val="wordhighlighted"/>
    <w:rsid w:val="005B3EB2"/>
  </w:style>
  <w:style w:type="character" w:customStyle="1" w:styleId="textcolumn">
    <w:name w:val="textcolumn"/>
    <w:basedOn w:val="DefaultParagraphFont"/>
    <w:rsid w:val="005B3EB2"/>
    <w:rPr>
      <w:rFonts w:ascii="Times New Roman" w:hAnsi="Times New Roman" w:cs="Times New Roman"/>
    </w:rPr>
  </w:style>
  <w:style w:type="character" w:customStyle="1" w:styleId="JuHAChar">
    <w:name w:val="Ju_H_A Char"/>
    <w:basedOn w:val="DefaultParagraphFont"/>
    <w:link w:val="ECHRHeading2"/>
    <w:rsid w:val="005B3EB2"/>
    <w:rPr>
      <w:rFonts w:ascii="Times New Roman" w:eastAsia="Times New Roman" w:hAnsi="Times New Roman" w:cs="Times New Roman"/>
      <w:b/>
      <w:sz w:val="24"/>
      <w:szCs w:val="20"/>
    </w:rPr>
  </w:style>
  <w:style w:type="paragraph" w:customStyle="1" w:styleId="s30eec3f8">
    <w:name w:val="s30eec3f8"/>
    <w:basedOn w:val="Normal"/>
    <w:rsid w:val="0059350F"/>
    <w:pPr>
      <w:spacing w:before="100" w:beforeAutospacing="1" w:after="100" w:afterAutospacing="1"/>
    </w:pPr>
    <w:rPr>
      <w:szCs w:val="24"/>
    </w:rPr>
  </w:style>
  <w:style w:type="character" w:customStyle="1" w:styleId="sdfc50a6a">
    <w:name w:val="sdfc50a6a"/>
    <w:basedOn w:val="DefaultParagraphFont"/>
    <w:rsid w:val="00BF2DCF"/>
    <w:rPr>
      <w:rFonts w:ascii="Times New Roman" w:hAnsi="Times New Roman" w:cs="Times New Roman"/>
    </w:rPr>
  </w:style>
  <w:style w:type="character" w:customStyle="1" w:styleId="s6b621b36">
    <w:name w:val="s6b621b36"/>
    <w:rsid w:val="00A82BD8"/>
  </w:style>
  <w:style w:type="character" w:customStyle="1" w:styleId="sea881cdf">
    <w:name w:val="sea881cdf"/>
    <w:rsid w:val="00AC0C2E"/>
  </w:style>
  <w:style w:type="character" w:customStyle="1" w:styleId="s7d2086b4">
    <w:name w:val="s7d2086b4"/>
    <w:basedOn w:val="DefaultParagraphFont"/>
    <w:rsid w:val="00027D01"/>
    <w:rPr>
      <w:rFonts w:ascii="Times New Roman" w:hAnsi="Times New Roman" w:cs="Times New Roman"/>
    </w:rPr>
  </w:style>
  <w:style w:type="paragraph" w:styleId="Revision">
    <w:name w:val="Revision"/>
    <w:hidden/>
    <w:uiPriority w:val="99"/>
    <w:semiHidden/>
    <w:rsid w:val="00843F37"/>
    <w:rPr>
      <w:rFonts w:eastAsiaTheme="minorEastAsia"/>
      <w:sz w:val="24"/>
      <w:lang w:val="en-US" w:eastAsia="en-US"/>
    </w:rPr>
  </w:style>
  <w:style w:type="table" w:customStyle="1" w:styleId="ECHRListTable">
    <w:name w:val="ECHR_List_Table"/>
    <w:basedOn w:val="TableNormal"/>
    <w:uiPriority w:val="99"/>
    <w:rsid w:val="00A95CCF"/>
    <w:rPr>
      <w:lang w:val="en-US" w:eastAsia="en-US"/>
    </w:rPr>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DummyStyle">
    <w:name w:val="Dummy_Style"/>
    <w:basedOn w:val="Normal"/>
    <w:semiHidden/>
    <w:qFormat/>
    <w:rsid w:val="00A95CCF"/>
    <w:rPr>
      <w:color w:val="00B050"/>
      <w:lang w:bidi="en-US"/>
    </w:rPr>
  </w:style>
  <w:style w:type="paragraph" w:customStyle="1" w:styleId="PubJuPara">
    <w:name w:val="Pub_Ju_Para"/>
    <w:basedOn w:val="NormalTimesNewRoman"/>
    <w:rsid w:val="00A95CCF"/>
    <w:pPr>
      <w:ind w:firstLine="284"/>
      <w:jc w:val="both"/>
    </w:pPr>
  </w:style>
  <w:style w:type="paragraph" w:customStyle="1" w:styleId="PubJuQuot">
    <w:name w:val="Pub_Ju_Quot"/>
    <w:basedOn w:val="NormalTimesNewRoman"/>
    <w:rsid w:val="00A95CCF"/>
    <w:pPr>
      <w:spacing w:before="120" w:after="120"/>
      <w:ind w:left="403" w:firstLine="176"/>
      <w:jc w:val="both"/>
    </w:pPr>
    <w:rPr>
      <w:sz w:val="20"/>
    </w:rPr>
  </w:style>
  <w:style w:type="paragraph" w:customStyle="1" w:styleId="PubListArticleSubject">
    <w:name w:val="Pub_List_ArticleSubject"/>
    <w:basedOn w:val="NormalTimesNewRoman"/>
    <w:rsid w:val="00A95CCF"/>
    <w:pPr>
      <w:tabs>
        <w:tab w:val="left" w:pos="2977"/>
      </w:tabs>
      <w:ind w:left="2977" w:hanging="2977"/>
    </w:pPr>
  </w:style>
  <w:style w:type="paragraph" w:customStyle="1" w:styleId="OpiH10">
    <w:name w:val="Opi_H_1."/>
    <w:basedOn w:val="OpiHA"/>
    <w:next w:val="OpiPara"/>
    <w:rsid w:val="00A95CCF"/>
    <w:pPr>
      <w:spacing w:before="240" w:after="120"/>
      <w:ind w:left="635"/>
      <w:outlineLvl w:val="2"/>
    </w:pPr>
    <w:rPr>
      <w:b w:val="0"/>
      <w:i/>
    </w:rPr>
  </w:style>
  <w:style w:type="paragraph" w:customStyle="1" w:styleId="PubListCaseNo">
    <w:name w:val="Pub_List_CaseNo"/>
    <w:basedOn w:val="NormalTimesNewRoman"/>
    <w:rsid w:val="00A95CCF"/>
    <w:pPr>
      <w:tabs>
        <w:tab w:val="left" w:pos="1276"/>
      </w:tabs>
      <w:spacing w:line="288" w:lineRule="auto"/>
      <w:ind w:left="1276" w:hanging="1276"/>
    </w:pPr>
  </w:style>
  <w:style w:type="paragraph" w:customStyle="1" w:styleId="SuCoverTitle1">
    <w:name w:val="Su_Cover_Title1"/>
    <w:basedOn w:val="NormalTimesNewRoman"/>
    <w:next w:val="SuCoverTitle2"/>
    <w:rsid w:val="00A95CCF"/>
    <w:pPr>
      <w:spacing w:before="2500"/>
      <w:jc w:val="center"/>
    </w:pPr>
    <w:rPr>
      <w:sz w:val="22"/>
    </w:rPr>
  </w:style>
  <w:style w:type="paragraph" w:customStyle="1" w:styleId="SuCoverTitle2">
    <w:name w:val="Su_Cover_Title2"/>
    <w:basedOn w:val="SuCoverTitle1"/>
    <w:next w:val="Normal"/>
    <w:rsid w:val="00A95CCF"/>
    <w:pPr>
      <w:spacing w:before="240"/>
    </w:pPr>
    <w:rPr>
      <w:sz w:val="18"/>
    </w:rPr>
  </w:style>
  <w:style w:type="paragraph" w:customStyle="1" w:styleId="SuPara">
    <w:name w:val="Su_Para"/>
    <w:basedOn w:val="SuKeywords"/>
    <w:rsid w:val="00A95CCF"/>
    <w:pPr>
      <w:spacing w:before="0" w:after="0"/>
    </w:pPr>
    <w:rPr>
      <w:i w:val="0"/>
    </w:rPr>
  </w:style>
  <w:style w:type="paragraph" w:customStyle="1" w:styleId="SuKeywords">
    <w:name w:val="Su_Keywords"/>
    <w:basedOn w:val="SuHHead"/>
    <w:rsid w:val="00A95CCF"/>
    <w:pPr>
      <w:spacing w:before="120"/>
    </w:pPr>
    <w:rPr>
      <w:b w:val="0"/>
      <w:i/>
    </w:rPr>
  </w:style>
  <w:style w:type="paragraph" w:customStyle="1" w:styleId="SuHHead">
    <w:name w:val="Su_H_Head"/>
    <w:basedOn w:val="SuSubject"/>
    <w:rsid w:val="00A95CCF"/>
    <w:pPr>
      <w:spacing w:after="120"/>
    </w:pPr>
  </w:style>
  <w:style w:type="paragraph" w:customStyle="1" w:styleId="SuSubject">
    <w:name w:val="Su_Subject"/>
    <w:basedOn w:val="SuSummary"/>
    <w:rsid w:val="00A95CCF"/>
    <w:pPr>
      <w:spacing w:before="360"/>
      <w:jc w:val="both"/>
    </w:pPr>
    <w:rPr>
      <w:b/>
      <w:sz w:val="22"/>
    </w:rPr>
  </w:style>
  <w:style w:type="paragraph" w:customStyle="1" w:styleId="SuSummary">
    <w:name w:val="Su_Summary"/>
    <w:basedOn w:val="NormalTimesNewRoman"/>
    <w:next w:val="SuSubject"/>
    <w:rsid w:val="00A95CCF"/>
    <w:pPr>
      <w:spacing w:after="240"/>
      <w:jc w:val="center"/>
    </w:pPr>
  </w:style>
  <w:style w:type="paragraph" w:customStyle="1" w:styleId="PubListCases">
    <w:name w:val="Pub_List_Cases"/>
    <w:basedOn w:val="NormalTimesNewRoman"/>
    <w:rsid w:val="00A95CCF"/>
    <w:pPr>
      <w:spacing w:line="288" w:lineRule="auto"/>
    </w:pPr>
  </w:style>
  <w:style w:type="paragraph" w:customStyle="1" w:styleId="PTextIntro">
    <w:name w:val="P_Text_Intro"/>
    <w:basedOn w:val="NormalTimesNewRoman"/>
    <w:rsid w:val="00A95CCF"/>
    <w:pPr>
      <w:jc w:val="both"/>
    </w:pPr>
    <w:rPr>
      <w:i/>
      <w:sz w:val="20"/>
    </w:rPr>
  </w:style>
  <w:style w:type="paragraph" w:customStyle="1" w:styleId="PubTitleCover">
    <w:name w:val="Pub_Title_Cover"/>
    <w:basedOn w:val="NormalTimesNewRoman"/>
    <w:rsid w:val="00A95CCF"/>
    <w:pPr>
      <w:spacing w:before="2500"/>
      <w:jc w:val="center"/>
    </w:pPr>
    <w:rPr>
      <w:b/>
      <w:smallCaps/>
      <w:sz w:val="30"/>
    </w:rPr>
  </w:style>
  <w:style w:type="paragraph" w:customStyle="1" w:styleId="PubTitle1Alpha">
    <w:name w:val="Pub_Title1_Alpha"/>
    <w:basedOn w:val="NormalTimesNewRoman"/>
    <w:next w:val="Normal"/>
    <w:rsid w:val="00A95CCF"/>
    <w:pPr>
      <w:spacing w:after="120"/>
      <w:jc w:val="center"/>
    </w:pPr>
    <w:rPr>
      <w:b/>
      <w:smallCaps/>
      <w:sz w:val="30"/>
    </w:rPr>
  </w:style>
  <w:style w:type="paragraph" w:customStyle="1" w:styleId="PubTitle1IndexArticle">
    <w:name w:val="Pub_Title1_IndexArticle"/>
    <w:basedOn w:val="NormalTimesNewRoman"/>
    <w:rsid w:val="00A95CCF"/>
    <w:pPr>
      <w:spacing w:after="120"/>
      <w:jc w:val="center"/>
    </w:pPr>
    <w:rPr>
      <w:b/>
      <w:smallCaps/>
      <w:sz w:val="30"/>
    </w:rPr>
  </w:style>
  <w:style w:type="paragraph" w:customStyle="1" w:styleId="PubTitle1IndexKey">
    <w:name w:val="Pub_Title1_IndexKey"/>
    <w:basedOn w:val="NormalTimesNewRoman"/>
    <w:rsid w:val="00A95CCF"/>
    <w:pPr>
      <w:spacing w:after="600"/>
      <w:jc w:val="center"/>
    </w:pPr>
    <w:rPr>
      <w:b/>
      <w:smallCaps/>
      <w:sz w:val="30"/>
    </w:rPr>
  </w:style>
  <w:style w:type="paragraph" w:customStyle="1" w:styleId="PubTitle1Num">
    <w:name w:val="Pub_Title1_Num"/>
    <w:basedOn w:val="NormalTimesNewRoman"/>
    <w:next w:val="PubListCaseNo"/>
    <w:rsid w:val="00A95CCF"/>
    <w:pPr>
      <w:spacing w:after="720"/>
      <w:jc w:val="center"/>
    </w:pPr>
    <w:rPr>
      <w:b/>
      <w:smallCaps/>
      <w:sz w:val="30"/>
    </w:rPr>
  </w:style>
  <w:style w:type="paragraph" w:customStyle="1" w:styleId="PubTitle2Country">
    <w:name w:val="Pub_Title2_Country"/>
    <w:basedOn w:val="NormalTimesNewRoman"/>
    <w:next w:val="PubListCases"/>
    <w:rsid w:val="00A95CCF"/>
    <w:pPr>
      <w:keepNext/>
      <w:keepLines/>
      <w:spacing w:before="600" w:after="360"/>
    </w:pPr>
    <w:rPr>
      <w:b/>
    </w:rPr>
  </w:style>
  <w:style w:type="paragraph" w:customStyle="1" w:styleId="PubTitle2Letters">
    <w:name w:val="Pub_Title2_Letters"/>
    <w:basedOn w:val="NormalTimesNewRoman"/>
    <w:next w:val="PubListCases"/>
    <w:rsid w:val="00A95CCF"/>
    <w:pPr>
      <w:keepNext/>
      <w:keepLines/>
      <w:spacing w:before="600" w:after="360"/>
    </w:pPr>
    <w:rPr>
      <w:b/>
      <w:sz w:val="28"/>
    </w:rPr>
  </w:style>
  <w:style w:type="paragraph" w:customStyle="1" w:styleId="PubTitle2Part">
    <w:name w:val="Pub_Title2_Part"/>
    <w:basedOn w:val="NormalTimesNewRoman"/>
    <w:rsid w:val="00A95CCF"/>
    <w:pPr>
      <w:keepNext/>
      <w:keepLines/>
      <w:spacing w:before="600" w:after="240"/>
      <w:jc w:val="center"/>
    </w:pPr>
    <w:rPr>
      <w:b/>
      <w:caps/>
    </w:rPr>
  </w:style>
  <w:style w:type="paragraph" w:customStyle="1" w:styleId="PubTitle3Article">
    <w:name w:val="Pub_Title3_Article"/>
    <w:basedOn w:val="NormalTimesNewRoman"/>
    <w:rsid w:val="00A95CCF"/>
    <w:pPr>
      <w:keepNext/>
      <w:keepLines/>
      <w:spacing w:before="360" w:after="120"/>
      <w:jc w:val="center"/>
    </w:pPr>
    <w:rPr>
      <w:b/>
      <w:smallCaps/>
      <w:sz w:val="22"/>
    </w:rPr>
  </w:style>
  <w:style w:type="paragraph" w:customStyle="1" w:styleId="PubTitle4ArticleSub">
    <w:name w:val="Pub_Title4_Article_Sub"/>
    <w:basedOn w:val="PubTitle3Article"/>
    <w:rsid w:val="00A95CCF"/>
    <w:pPr>
      <w:spacing w:before="240"/>
    </w:pPr>
    <w:rPr>
      <w:smallCaps w:val="0"/>
      <w:sz w:val="20"/>
    </w:rPr>
  </w:style>
  <w:style w:type="paragraph" w:customStyle="1" w:styleId="PubTitle5Subject">
    <w:name w:val="Pub_Title5_Subject"/>
    <w:basedOn w:val="NormalTimesNewRoman"/>
    <w:rsid w:val="00A95CCF"/>
    <w:pPr>
      <w:keepNext/>
      <w:keepLines/>
      <w:spacing w:before="240" w:after="120"/>
      <w:jc w:val="both"/>
    </w:pPr>
    <w:rPr>
      <w:b/>
      <w:i/>
    </w:rPr>
  </w:style>
  <w:style w:type="paragraph" w:customStyle="1" w:styleId="PubTitle6SubjectSub">
    <w:name w:val="Pub_Title6_Subject_Sub"/>
    <w:basedOn w:val="NormalTimesNewRoman"/>
    <w:rsid w:val="00A95CCF"/>
    <w:pPr>
      <w:keepNext/>
      <w:keepLines/>
      <w:spacing w:before="240" w:after="120"/>
      <w:ind w:left="284"/>
      <w:jc w:val="both"/>
    </w:pPr>
    <w:rPr>
      <w:b/>
      <w:sz w:val="20"/>
    </w:rPr>
  </w:style>
  <w:style w:type="paragraph" w:customStyle="1" w:styleId="PubTitle7CaseName">
    <w:name w:val="Pub_Title7_CaseName"/>
    <w:basedOn w:val="NormalTimesNewRoman"/>
    <w:rsid w:val="00A95CCF"/>
    <w:pPr>
      <w:keepLines/>
      <w:spacing w:after="240"/>
      <w:jc w:val="right"/>
    </w:pPr>
    <w:rPr>
      <w:sz w:val="22"/>
    </w:rPr>
  </w:style>
  <w:style w:type="paragraph" w:customStyle="1" w:styleId="NormalTimesNewRoman">
    <w:name w:val="Normal_TimesNewRoman"/>
    <w:rsid w:val="00A95CCF"/>
    <w:rPr>
      <w:rFonts w:ascii="Times New Roman" w:eastAsia="Times New Roman" w:hAnsi="Times New Roman" w:cs="Times New Roman"/>
      <w:sz w:val="24"/>
      <w:szCs w:val="20"/>
    </w:rPr>
  </w:style>
  <w:style w:type="character" w:customStyle="1" w:styleId="DefaultTimesNewRoman">
    <w:name w:val="Default_TimesNewRoman"/>
    <w:basedOn w:val="DefaultParagraphFont"/>
    <w:rsid w:val="00A95CCF"/>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qFormat="1"/>
    <w:lsdException w:name="Title" w:qFormat="1"/>
    <w:lsdException w:name="Subtitle" w:qFormat="1"/>
    <w:lsdException w:name="Strong" w:qFormat="1"/>
    <w:lsdException w:name="Emphasis" w:qFormat="1"/>
    <w:lsdException w:name="Normal Table" w:uiPriority="99"/>
    <w:lsdException w:name="Placeholder Text" w:semiHidden="1" w:uiPriority="99"/>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99" w:unhideWhenUsed="1"/>
    <w:lsdException w:name="TOC Heading" w:semiHidden="1" w:uiPriority="99" w:unhideWhenUsed="1" w:qFormat="1"/>
  </w:latentStyles>
  <w:style w:type="paragraph" w:default="1" w:styleId="Normal">
    <w:name w:val="Normal"/>
    <w:qFormat/>
    <w:rsid w:val="00A95CCF"/>
    <w:pPr>
      <w:suppressAutoHyphens/>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95CCF"/>
    <w:pPr>
      <w:keepNext/>
      <w:numPr>
        <w:numId w:val="4"/>
      </w:numPr>
      <w:spacing w:before="360" w:after="240"/>
      <w:jc w:val="center"/>
      <w:outlineLvl w:val="0"/>
    </w:pPr>
    <w:rPr>
      <w:b/>
      <w:sz w:val="28"/>
    </w:rPr>
  </w:style>
  <w:style w:type="paragraph" w:styleId="Heading2">
    <w:name w:val="heading 2"/>
    <w:basedOn w:val="Normal"/>
    <w:next w:val="Normal"/>
    <w:link w:val="Heading2Char"/>
    <w:qFormat/>
    <w:rsid w:val="00A95CCF"/>
    <w:pPr>
      <w:keepNext/>
      <w:numPr>
        <w:ilvl w:val="1"/>
        <w:numId w:val="4"/>
      </w:numPr>
      <w:spacing w:before="240" w:after="120"/>
      <w:outlineLvl w:val="1"/>
    </w:pPr>
    <w:rPr>
      <w:b/>
    </w:rPr>
  </w:style>
  <w:style w:type="paragraph" w:styleId="Heading3">
    <w:name w:val="heading 3"/>
    <w:basedOn w:val="Normal"/>
    <w:next w:val="Normal"/>
    <w:link w:val="Heading3Char"/>
    <w:qFormat/>
    <w:rsid w:val="00A95CCF"/>
    <w:pPr>
      <w:keepNext/>
      <w:numPr>
        <w:ilvl w:val="2"/>
        <w:numId w:val="4"/>
      </w:numPr>
      <w:spacing w:before="120" w:after="60"/>
      <w:outlineLvl w:val="2"/>
    </w:pPr>
    <w:rPr>
      <w:i/>
    </w:rPr>
  </w:style>
  <w:style w:type="paragraph" w:styleId="Heading4">
    <w:name w:val="heading 4"/>
    <w:basedOn w:val="Normal"/>
    <w:next w:val="Normal"/>
    <w:link w:val="Heading4Char"/>
    <w:qFormat/>
    <w:rsid w:val="00A95CCF"/>
    <w:pPr>
      <w:keepNext/>
      <w:numPr>
        <w:ilvl w:val="3"/>
        <w:numId w:val="4"/>
      </w:numPr>
      <w:spacing w:before="240" w:after="60"/>
      <w:outlineLvl w:val="3"/>
    </w:pPr>
    <w:rPr>
      <w:b/>
      <w:bCs/>
      <w:sz w:val="28"/>
      <w:szCs w:val="28"/>
    </w:rPr>
  </w:style>
  <w:style w:type="paragraph" w:styleId="Heading5">
    <w:name w:val="heading 5"/>
    <w:basedOn w:val="Normal"/>
    <w:next w:val="Normal"/>
    <w:link w:val="Heading5Char"/>
    <w:qFormat/>
    <w:rsid w:val="00A95CCF"/>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rsid w:val="00A95CCF"/>
    <w:pPr>
      <w:numPr>
        <w:ilvl w:val="5"/>
        <w:numId w:val="4"/>
      </w:numPr>
      <w:spacing w:before="240" w:after="60"/>
      <w:outlineLvl w:val="5"/>
    </w:pPr>
    <w:rPr>
      <w:b/>
      <w:bCs/>
      <w:sz w:val="22"/>
      <w:szCs w:val="22"/>
    </w:rPr>
  </w:style>
  <w:style w:type="paragraph" w:styleId="Heading7">
    <w:name w:val="heading 7"/>
    <w:basedOn w:val="Normal"/>
    <w:next w:val="Normal"/>
    <w:link w:val="Heading7Char"/>
    <w:qFormat/>
    <w:rsid w:val="00A95CCF"/>
    <w:pPr>
      <w:numPr>
        <w:ilvl w:val="6"/>
        <w:numId w:val="4"/>
      </w:numPr>
      <w:spacing w:before="240" w:after="60"/>
      <w:outlineLvl w:val="6"/>
    </w:pPr>
    <w:rPr>
      <w:szCs w:val="24"/>
    </w:rPr>
  </w:style>
  <w:style w:type="paragraph" w:styleId="Heading8">
    <w:name w:val="heading 8"/>
    <w:basedOn w:val="Normal"/>
    <w:next w:val="Normal"/>
    <w:link w:val="Heading8Char"/>
    <w:qFormat/>
    <w:rsid w:val="00A95CCF"/>
    <w:pPr>
      <w:numPr>
        <w:ilvl w:val="7"/>
        <w:numId w:val="4"/>
      </w:numPr>
      <w:spacing w:before="240" w:after="60"/>
      <w:outlineLvl w:val="7"/>
    </w:pPr>
    <w:rPr>
      <w:i/>
      <w:iCs/>
      <w:szCs w:val="24"/>
    </w:rPr>
  </w:style>
  <w:style w:type="paragraph" w:styleId="Heading9">
    <w:name w:val="heading 9"/>
    <w:basedOn w:val="Normal"/>
    <w:next w:val="Normal"/>
    <w:link w:val="Heading9Char"/>
    <w:qFormat/>
    <w:rsid w:val="00A95CCF"/>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HRHeading1">
    <w:name w:val="ECHR_Heading_1"/>
    <w:aliases w:val="Ju_H_I_Roman"/>
    <w:basedOn w:val="ECHRTitle1"/>
    <w:next w:val="ECHRPara"/>
    <w:link w:val="JuHIRomanChar"/>
    <w:rsid w:val="00A95CCF"/>
    <w:pPr>
      <w:tabs>
        <w:tab w:val="left" w:pos="357"/>
      </w:tabs>
      <w:spacing w:before="360"/>
      <w:ind w:left="357" w:hanging="357"/>
      <w:outlineLvl w:val="1"/>
    </w:pPr>
    <w:rPr>
      <w:sz w:val="24"/>
    </w:rPr>
  </w:style>
  <w:style w:type="paragraph" w:customStyle="1" w:styleId="ECHRTitle1">
    <w:name w:val="ECHR_Title_1"/>
    <w:aliases w:val="Ju_H_Head"/>
    <w:basedOn w:val="NormalTimesNewRoman"/>
    <w:next w:val="ECHRPara"/>
    <w:rsid w:val="00A95CCF"/>
    <w:pPr>
      <w:keepNext/>
      <w:keepLines/>
      <w:spacing w:before="720" w:after="240"/>
      <w:jc w:val="both"/>
      <w:outlineLvl w:val="0"/>
    </w:pPr>
    <w:rPr>
      <w:sz w:val="28"/>
    </w:rPr>
  </w:style>
  <w:style w:type="paragraph" w:customStyle="1" w:styleId="ECHRPara">
    <w:name w:val="ECHR_Para"/>
    <w:aliases w:val="Ju_Para"/>
    <w:basedOn w:val="NormalTimesNewRoman"/>
    <w:link w:val="JuParaCar"/>
    <w:rsid w:val="00A95CCF"/>
    <w:pPr>
      <w:ind w:firstLine="284"/>
      <w:jc w:val="both"/>
    </w:pPr>
  </w:style>
  <w:style w:type="character" w:customStyle="1" w:styleId="JuParaCar">
    <w:name w:val="Ju_Para Car"/>
    <w:link w:val="ECHRPara"/>
    <w:rsid w:val="009D29DE"/>
    <w:rPr>
      <w:rFonts w:ascii="Times New Roman" w:eastAsia="Times New Roman" w:hAnsi="Times New Roman" w:cs="Times New Roman"/>
      <w:sz w:val="24"/>
      <w:szCs w:val="20"/>
    </w:rPr>
  </w:style>
  <w:style w:type="character" w:customStyle="1" w:styleId="JuHIRomanChar">
    <w:name w:val="Ju_H_I_Roman Char"/>
    <w:link w:val="ECHRHeading1"/>
    <w:rsid w:val="00D31210"/>
    <w:rPr>
      <w:rFonts w:ascii="Times New Roman" w:eastAsia="Times New Roman" w:hAnsi="Times New Roman" w:cs="Times New Roman"/>
      <w:sz w:val="24"/>
      <w:szCs w:val="20"/>
    </w:rPr>
  </w:style>
  <w:style w:type="paragraph" w:styleId="Footer">
    <w:name w:val="footer"/>
    <w:basedOn w:val="Normal"/>
    <w:link w:val="FooterChar"/>
    <w:rsid w:val="00A95CCF"/>
    <w:pPr>
      <w:tabs>
        <w:tab w:val="center" w:pos="3686"/>
        <w:tab w:val="right" w:pos="7371"/>
      </w:tabs>
    </w:pPr>
    <w:rPr>
      <w:sz w:val="18"/>
    </w:rPr>
  </w:style>
  <w:style w:type="paragraph" w:customStyle="1" w:styleId="ECHRDecisionBody">
    <w:name w:val="ECHR_Decision_Body"/>
    <w:aliases w:val="Ju_Judges"/>
    <w:basedOn w:val="NormalTimesNewRoman"/>
    <w:link w:val="JuJudgesChar"/>
    <w:rsid w:val="00A95CCF"/>
    <w:pPr>
      <w:tabs>
        <w:tab w:val="left" w:pos="567"/>
        <w:tab w:val="left" w:pos="1134"/>
      </w:tabs>
    </w:pPr>
  </w:style>
  <w:style w:type="character" w:customStyle="1" w:styleId="JuJudgesChar">
    <w:name w:val="Ju_Judges Char"/>
    <w:link w:val="ECHRDecisionBody"/>
    <w:rsid w:val="00287191"/>
    <w:rPr>
      <w:rFonts w:ascii="Times New Roman" w:eastAsia="Times New Roman" w:hAnsi="Times New Roman" w:cs="Times New Roman"/>
      <w:sz w:val="24"/>
      <w:szCs w:val="20"/>
    </w:rPr>
  </w:style>
  <w:style w:type="character" w:styleId="Strong">
    <w:name w:val="Strong"/>
    <w:basedOn w:val="DefaultParagraphFont"/>
    <w:qFormat/>
    <w:rsid w:val="00A95CCF"/>
    <w:rPr>
      <w:rFonts w:ascii="Times New Roman" w:hAnsi="Times New Roman" w:cs="Times New Roman"/>
      <w:b/>
      <w:bCs/>
    </w:rPr>
  </w:style>
  <w:style w:type="paragraph" w:customStyle="1" w:styleId="ECHRHeading2">
    <w:name w:val="ECHR_Heading_2"/>
    <w:aliases w:val="Ju_H_A"/>
    <w:basedOn w:val="ECHRHeading1"/>
    <w:next w:val="ECHRPara"/>
    <w:link w:val="JuHAChar"/>
    <w:rsid w:val="00A95CCF"/>
    <w:pPr>
      <w:tabs>
        <w:tab w:val="clear" w:pos="357"/>
        <w:tab w:val="left" w:pos="584"/>
      </w:tabs>
      <w:ind w:left="584" w:hanging="352"/>
      <w:outlineLvl w:val="2"/>
    </w:pPr>
    <w:rPr>
      <w:b/>
    </w:rPr>
  </w:style>
  <w:style w:type="paragraph" w:customStyle="1" w:styleId="ECHRParaQuote">
    <w:name w:val="ECHR_Para_Quote"/>
    <w:aliases w:val="Ju_Quot"/>
    <w:basedOn w:val="ECHRPara"/>
    <w:rsid w:val="00A95CCF"/>
    <w:pPr>
      <w:spacing w:before="120" w:after="120"/>
      <w:ind w:left="425" w:firstLine="142"/>
    </w:pPr>
    <w:rPr>
      <w:sz w:val="20"/>
    </w:rPr>
  </w:style>
  <w:style w:type="paragraph" w:customStyle="1" w:styleId="JuSigned">
    <w:name w:val="Ju_Signed"/>
    <w:basedOn w:val="NormalTimesNewRoman"/>
    <w:next w:val="JuParaLast"/>
    <w:rsid w:val="00A95CCF"/>
    <w:pPr>
      <w:tabs>
        <w:tab w:val="center" w:pos="851"/>
        <w:tab w:val="center" w:pos="6407"/>
      </w:tabs>
      <w:spacing w:before="720"/>
    </w:pPr>
  </w:style>
  <w:style w:type="paragraph" w:customStyle="1" w:styleId="JuParaLast">
    <w:name w:val="Ju_Para_Last"/>
    <w:basedOn w:val="ECHRPara"/>
    <w:next w:val="ECHRPara"/>
    <w:rsid w:val="00A95CCF"/>
    <w:pPr>
      <w:keepNext/>
      <w:keepLines/>
      <w:spacing w:before="240"/>
    </w:pPr>
  </w:style>
  <w:style w:type="paragraph" w:customStyle="1" w:styleId="JuCase">
    <w:name w:val="Ju_Case"/>
    <w:basedOn w:val="ECHRPara"/>
    <w:next w:val="ECHRPara"/>
    <w:rsid w:val="00A95CCF"/>
    <w:rPr>
      <w:b/>
    </w:rPr>
  </w:style>
  <w:style w:type="paragraph" w:customStyle="1" w:styleId="JuList">
    <w:name w:val="Ju_List"/>
    <w:basedOn w:val="ECHRPara"/>
    <w:rsid w:val="00A95CCF"/>
    <w:pPr>
      <w:ind w:left="340" w:hanging="340"/>
    </w:pPr>
  </w:style>
  <w:style w:type="paragraph" w:customStyle="1" w:styleId="JuCourt">
    <w:name w:val="Ju_Court"/>
    <w:basedOn w:val="ECHRDecisionBody"/>
    <w:rsid w:val="00A95CCF"/>
    <w:pPr>
      <w:tabs>
        <w:tab w:val="clear" w:pos="567"/>
        <w:tab w:val="clear" w:pos="1134"/>
        <w:tab w:val="left" w:pos="907"/>
        <w:tab w:val="left" w:pos="1701"/>
        <w:tab w:val="right" w:pos="7371"/>
      </w:tabs>
      <w:spacing w:before="240"/>
      <w:ind w:left="397" w:hanging="397"/>
    </w:pPr>
  </w:style>
  <w:style w:type="paragraph" w:styleId="FootnoteText">
    <w:name w:val="footnote text"/>
    <w:basedOn w:val="Normal"/>
    <w:link w:val="FootnoteTextChar"/>
    <w:semiHidden/>
    <w:rsid w:val="00A95CCF"/>
    <w:pPr>
      <w:jc w:val="both"/>
    </w:pPr>
    <w:rPr>
      <w:sz w:val="20"/>
    </w:rPr>
  </w:style>
  <w:style w:type="character" w:styleId="FootnoteReference">
    <w:name w:val="footnote reference"/>
    <w:basedOn w:val="DefaultParagraphFont"/>
    <w:semiHidden/>
    <w:rsid w:val="00A95CCF"/>
    <w:rPr>
      <w:rFonts w:ascii="Times New Roman" w:hAnsi="Times New Roman" w:cs="Times New Roman"/>
      <w:vertAlign w:val="superscript"/>
    </w:rPr>
  </w:style>
  <w:style w:type="paragraph" w:styleId="Header">
    <w:name w:val="header"/>
    <w:basedOn w:val="Normal"/>
    <w:link w:val="HeaderChar"/>
    <w:rsid w:val="00A95CCF"/>
    <w:pPr>
      <w:tabs>
        <w:tab w:val="center" w:pos="3686"/>
        <w:tab w:val="right" w:pos="7371"/>
      </w:tabs>
    </w:pPr>
    <w:rPr>
      <w:sz w:val="18"/>
    </w:rPr>
  </w:style>
  <w:style w:type="character" w:styleId="PageNumber">
    <w:name w:val="page number"/>
    <w:basedOn w:val="DefaultParagraphFont"/>
    <w:rsid w:val="00A95CCF"/>
    <w:rPr>
      <w:rFonts w:ascii="Times New Roman" w:hAnsi="Times New Roman" w:cs="Times New Roman"/>
      <w:sz w:val="18"/>
    </w:rPr>
  </w:style>
  <w:style w:type="paragraph" w:customStyle="1" w:styleId="JuLista">
    <w:name w:val="Ju_List_a"/>
    <w:basedOn w:val="JuList"/>
    <w:rsid w:val="00A95CCF"/>
    <w:pPr>
      <w:ind w:left="346" w:firstLine="0"/>
    </w:pPr>
  </w:style>
  <w:style w:type="paragraph" w:customStyle="1" w:styleId="JuListi">
    <w:name w:val="Ju_List_i"/>
    <w:basedOn w:val="JuLista"/>
    <w:rsid w:val="00A95CCF"/>
    <w:pPr>
      <w:ind w:left="794"/>
    </w:pPr>
  </w:style>
  <w:style w:type="character" w:styleId="CommentReference">
    <w:name w:val="annotation reference"/>
    <w:basedOn w:val="DefaultParagraphFont"/>
    <w:semiHidden/>
    <w:rsid w:val="00A95CCF"/>
    <w:rPr>
      <w:rFonts w:ascii="Times New Roman" w:hAnsi="Times New Roman" w:cs="Times New Roman"/>
      <w:sz w:val="16"/>
      <w:szCs w:val="16"/>
    </w:rPr>
  </w:style>
  <w:style w:type="paragraph" w:styleId="CommentText">
    <w:name w:val="annotation text"/>
    <w:basedOn w:val="Normal"/>
    <w:semiHidden/>
    <w:rsid w:val="00A95CCF"/>
    <w:rPr>
      <w:sz w:val="20"/>
    </w:rPr>
  </w:style>
  <w:style w:type="paragraph" w:styleId="BalloonText">
    <w:name w:val="Balloon Text"/>
    <w:basedOn w:val="Normal"/>
    <w:link w:val="BalloonTextChar"/>
    <w:semiHidden/>
    <w:rsid w:val="00A95CCF"/>
    <w:rPr>
      <w:rFonts w:ascii="Tahoma" w:hAnsi="Tahoma" w:cs="Tahoma"/>
      <w:sz w:val="16"/>
      <w:szCs w:val="16"/>
    </w:rPr>
  </w:style>
  <w:style w:type="character" w:styleId="Hyperlink">
    <w:name w:val="Hyperlink"/>
    <w:basedOn w:val="DefaultParagraphFont"/>
    <w:rsid w:val="00A95CCF"/>
    <w:rPr>
      <w:rFonts w:ascii="Times New Roman" w:hAnsi="Times New Roman" w:cs="Times New Roman"/>
      <w:color w:val="0000FF"/>
      <w:u w:val="single"/>
    </w:rPr>
  </w:style>
  <w:style w:type="character" w:styleId="EndnoteReference">
    <w:name w:val="endnote reference"/>
    <w:basedOn w:val="DefaultParagraphFont"/>
    <w:semiHidden/>
    <w:rsid w:val="00A95CCF"/>
    <w:rPr>
      <w:rFonts w:ascii="Times New Roman" w:hAnsi="Times New Roman" w:cs="Times New Roman"/>
      <w:vertAlign w:val="superscript"/>
    </w:rPr>
  </w:style>
  <w:style w:type="paragraph" w:styleId="EndnoteText">
    <w:name w:val="endnote text"/>
    <w:basedOn w:val="Normal"/>
    <w:semiHidden/>
    <w:rsid w:val="00A95CCF"/>
    <w:rPr>
      <w:sz w:val="20"/>
    </w:rPr>
  </w:style>
  <w:style w:type="character" w:styleId="FollowedHyperlink">
    <w:name w:val="FollowedHyperlink"/>
    <w:basedOn w:val="DefaultParagraphFont"/>
    <w:rsid w:val="00A95CCF"/>
    <w:rPr>
      <w:rFonts w:ascii="Times New Roman" w:hAnsi="Times New Roman" w:cs="Times New Roman"/>
      <w:color w:val="800080"/>
      <w:u w:val="single"/>
    </w:rPr>
  </w:style>
  <w:style w:type="paragraph" w:styleId="ListBullet">
    <w:name w:val="List Bullet"/>
    <w:basedOn w:val="NormalTimesNewRoman"/>
    <w:rsid w:val="00A95CCF"/>
    <w:pPr>
      <w:numPr>
        <w:numId w:val="1"/>
      </w:numPr>
    </w:pPr>
  </w:style>
  <w:style w:type="character" w:customStyle="1" w:styleId="JuNames">
    <w:name w:val="Ju_Names"/>
    <w:basedOn w:val="DefaultParagraphFont"/>
    <w:rsid w:val="00A95CCF"/>
    <w:rPr>
      <w:rFonts w:ascii="Times New Roman" w:hAnsi="Times New Roman" w:cs="Times New Roman"/>
      <w:smallCaps/>
    </w:rPr>
  </w:style>
  <w:style w:type="paragraph" w:styleId="CommentSubject">
    <w:name w:val="annotation subject"/>
    <w:basedOn w:val="CommentText"/>
    <w:next w:val="CommentText"/>
    <w:semiHidden/>
    <w:rsid w:val="00A95CCF"/>
    <w:rPr>
      <w:b/>
      <w:bCs/>
    </w:rPr>
  </w:style>
  <w:style w:type="paragraph" w:styleId="DocumentMap">
    <w:name w:val="Document Map"/>
    <w:basedOn w:val="Normal"/>
    <w:semiHidden/>
    <w:rsid w:val="00A95CCF"/>
    <w:pPr>
      <w:shd w:val="clear" w:color="auto" w:fill="000080"/>
    </w:pPr>
    <w:rPr>
      <w:rFonts w:ascii="Tahoma" w:hAnsi="Tahoma" w:cs="Tahoma"/>
      <w:sz w:val="20"/>
    </w:rPr>
  </w:style>
  <w:style w:type="character" w:customStyle="1" w:styleId="JuITMark">
    <w:name w:val="Ju_ITMark"/>
    <w:basedOn w:val="DefaultTimesNewRoman"/>
    <w:rsid w:val="00A95CCF"/>
    <w:rPr>
      <w:rFonts w:ascii="Times New Roman" w:hAnsi="Times New Roman" w:cs="Times New Roman"/>
      <w:vanish/>
      <w:color w:val="339966"/>
      <w:sz w:val="16"/>
      <w:szCs w:val="16"/>
      <w:lang w:val="fi-FI"/>
    </w:rPr>
  </w:style>
  <w:style w:type="character" w:customStyle="1" w:styleId="Heading1Char">
    <w:name w:val="Heading 1 Char"/>
    <w:basedOn w:val="DefaultParagraphFont"/>
    <w:link w:val="Heading1"/>
    <w:rsid w:val="00A95CCF"/>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A95CCF"/>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95CCF"/>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A95C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95CC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95CCF"/>
    <w:rPr>
      <w:rFonts w:ascii="Times New Roman" w:eastAsia="Times New Roman" w:hAnsi="Times New Roman" w:cs="Times New Roman"/>
      <w:b/>
      <w:bCs/>
    </w:rPr>
  </w:style>
  <w:style w:type="character" w:customStyle="1" w:styleId="Heading7Char">
    <w:name w:val="Heading 7 Char"/>
    <w:basedOn w:val="DefaultParagraphFont"/>
    <w:link w:val="Heading7"/>
    <w:rsid w:val="00A95C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95CC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95CCF"/>
    <w:rPr>
      <w:rFonts w:ascii="Arial" w:eastAsia="Times New Roman" w:hAnsi="Arial" w:cs="Arial"/>
    </w:rPr>
  </w:style>
  <w:style w:type="character" w:customStyle="1" w:styleId="BalloonTextChar">
    <w:name w:val="Balloon Text Char"/>
    <w:basedOn w:val="DefaultParagraphFont"/>
    <w:link w:val="BalloonText"/>
    <w:semiHidden/>
    <w:rsid w:val="00A95CCF"/>
    <w:rPr>
      <w:rFonts w:ascii="Tahoma" w:eastAsia="Times New Roman" w:hAnsi="Tahoma" w:cs="Tahoma"/>
      <w:sz w:val="16"/>
      <w:szCs w:val="16"/>
    </w:rPr>
  </w:style>
  <w:style w:type="character" w:styleId="BookTitle">
    <w:name w:val="Book Title"/>
    <w:uiPriority w:val="99"/>
    <w:semiHidden/>
    <w:qFormat/>
    <w:rsid w:val="00A95CCF"/>
    <w:rPr>
      <w:i/>
      <w:iCs/>
      <w:smallCaps/>
      <w:spacing w:val="5"/>
    </w:rPr>
  </w:style>
  <w:style w:type="paragraph" w:styleId="NoSpacing">
    <w:name w:val="No Spacing"/>
    <w:basedOn w:val="Normal"/>
    <w:link w:val="NoSpacingChar"/>
    <w:semiHidden/>
    <w:qFormat/>
    <w:rsid w:val="00A95CCF"/>
  </w:style>
  <w:style w:type="character" w:customStyle="1" w:styleId="NoSpacingChar">
    <w:name w:val="No Spacing Char"/>
    <w:basedOn w:val="DefaultParagraphFont"/>
    <w:link w:val="NoSpacing"/>
    <w:semiHidden/>
    <w:rsid w:val="00A95CCF"/>
    <w:rPr>
      <w:rFonts w:ascii="Times New Roman" w:eastAsiaTheme="minorEastAsia" w:hAnsi="Times New Roman" w:cs="Times New Roman"/>
      <w:sz w:val="24"/>
      <w:lang w:val="en-US" w:eastAsia="en-US"/>
    </w:rPr>
  </w:style>
  <w:style w:type="paragraph" w:styleId="Title">
    <w:name w:val="Title"/>
    <w:basedOn w:val="Normal"/>
    <w:link w:val="TitleChar"/>
    <w:qFormat/>
    <w:rsid w:val="00A95CC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95CCF"/>
    <w:rPr>
      <w:rFonts w:ascii="Arial" w:eastAsia="Times New Roman" w:hAnsi="Arial" w:cs="Arial"/>
      <w:b/>
      <w:bCs/>
      <w:kern w:val="28"/>
      <w:sz w:val="32"/>
      <w:szCs w:val="32"/>
    </w:rPr>
  </w:style>
  <w:style w:type="paragraph" w:styleId="Subtitle">
    <w:name w:val="Subtitle"/>
    <w:basedOn w:val="Normal"/>
    <w:link w:val="SubtitleChar"/>
    <w:qFormat/>
    <w:rsid w:val="00A95CCF"/>
    <w:pPr>
      <w:spacing w:after="60"/>
      <w:jc w:val="center"/>
      <w:outlineLvl w:val="1"/>
    </w:pPr>
    <w:rPr>
      <w:rFonts w:ascii="Arial" w:hAnsi="Arial" w:cs="Arial"/>
      <w:szCs w:val="24"/>
    </w:rPr>
  </w:style>
  <w:style w:type="character" w:customStyle="1" w:styleId="SubtitleChar">
    <w:name w:val="Subtitle Char"/>
    <w:basedOn w:val="DefaultParagraphFont"/>
    <w:link w:val="Subtitle"/>
    <w:rsid w:val="00A95CCF"/>
    <w:rPr>
      <w:rFonts w:ascii="Arial" w:eastAsia="Times New Roman" w:hAnsi="Arial" w:cs="Arial"/>
      <w:sz w:val="24"/>
      <w:szCs w:val="24"/>
    </w:rPr>
  </w:style>
  <w:style w:type="paragraph" w:customStyle="1" w:styleId="ECHRFooter">
    <w:name w:val="ECHR_Footer"/>
    <w:aliases w:val="Footer_ECHR"/>
    <w:basedOn w:val="Footer"/>
    <w:uiPriority w:val="57"/>
    <w:semiHidden/>
    <w:rsid w:val="00A95CCF"/>
    <w:rPr>
      <w:sz w:val="8"/>
    </w:rPr>
  </w:style>
  <w:style w:type="paragraph" w:customStyle="1" w:styleId="ECHRFooterLine">
    <w:name w:val="ECHR_Footer_Line"/>
    <w:aliases w:val="Footer_Line"/>
    <w:basedOn w:val="Normal"/>
    <w:next w:val="ECHRFooter"/>
    <w:uiPriority w:val="57"/>
    <w:semiHidden/>
    <w:rsid w:val="00A95CCF"/>
    <w:pPr>
      <w:pBdr>
        <w:top w:val="single" w:sz="6" w:space="1" w:color="5F5F5F"/>
      </w:pBdr>
      <w:tabs>
        <w:tab w:val="center" w:pos="4536"/>
        <w:tab w:val="right" w:pos="9696"/>
      </w:tabs>
      <w:ind w:left="-680" w:right="-680"/>
    </w:pPr>
    <w:rPr>
      <w:color w:val="5F5F5F"/>
    </w:rPr>
  </w:style>
  <w:style w:type="character" w:customStyle="1" w:styleId="HeaderChar">
    <w:name w:val="Header Char"/>
    <w:basedOn w:val="DefaultParagraphFont"/>
    <w:link w:val="Header"/>
    <w:rsid w:val="00A95CCF"/>
    <w:rPr>
      <w:rFonts w:ascii="Times New Roman" w:eastAsia="Times New Roman" w:hAnsi="Times New Roman" w:cs="Times New Roman"/>
      <w:sz w:val="18"/>
      <w:szCs w:val="20"/>
    </w:rPr>
  </w:style>
  <w:style w:type="paragraph" w:customStyle="1" w:styleId="ECHRHeader">
    <w:name w:val="ECHR_Header"/>
    <w:aliases w:val="Ju_Header"/>
    <w:basedOn w:val="Header"/>
    <w:rsid w:val="00A95CCF"/>
  </w:style>
  <w:style w:type="character" w:styleId="SubtleEmphasis">
    <w:name w:val="Subtle Emphasis"/>
    <w:uiPriority w:val="99"/>
    <w:semiHidden/>
    <w:qFormat/>
    <w:rsid w:val="00A95CCF"/>
    <w:rPr>
      <w:i/>
      <w:iCs/>
    </w:rPr>
  </w:style>
  <w:style w:type="character" w:styleId="Emphasis">
    <w:name w:val="Emphasis"/>
    <w:basedOn w:val="DefaultParagraphFont"/>
    <w:qFormat/>
    <w:rsid w:val="00A95CCF"/>
    <w:rPr>
      <w:rFonts w:ascii="Times New Roman" w:hAnsi="Times New Roman" w:cs="Times New Roman"/>
      <w:i/>
      <w:iCs/>
    </w:rPr>
  </w:style>
  <w:style w:type="character" w:customStyle="1" w:styleId="FooterChar">
    <w:name w:val="Footer Char"/>
    <w:basedOn w:val="DefaultParagraphFont"/>
    <w:link w:val="Footer"/>
    <w:rsid w:val="00A95CCF"/>
    <w:rPr>
      <w:rFonts w:ascii="Times New Roman" w:eastAsia="Times New Roman" w:hAnsi="Times New Roman" w:cs="Times New Roman"/>
      <w:sz w:val="18"/>
      <w:szCs w:val="20"/>
    </w:rPr>
  </w:style>
  <w:style w:type="character" w:customStyle="1" w:styleId="FootnoteTextChar">
    <w:name w:val="Footnote Text Char"/>
    <w:basedOn w:val="DefaultParagraphFont"/>
    <w:link w:val="FootnoteText"/>
    <w:semiHidden/>
    <w:rsid w:val="00A95CCF"/>
    <w:rPr>
      <w:rFonts w:ascii="Times New Roman" w:eastAsia="Times New Roman" w:hAnsi="Times New Roman" w:cs="Times New Roman"/>
      <w:sz w:val="20"/>
      <w:szCs w:val="20"/>
    </w:rPr>
  </w:style>
  <w:style w:type="character" w:styleId="IntenseEmphasis">
    <w:name w:val="Intense Emphasis"/>
    <w:uiPriority w:val="99"/>
    <w:semiHidden/>
    <w:qFormat/>
    <w:rsid w:val="00A95CCF"/>
    <w:rPr>
      <w:b/>
      <w:bCs/>
    </w:rPr>
  </w:style>
  <w:style w:type="paragraph" w:styleId="IntenseQuote">
    <w:name w:val="Intense Quote"/>
    <w:basedOn w:val="Normal"/>
    <w:next w:val="Normal"/>
    <w:link w:val="IntenseQuoteChar"/>
    <w:uiPriority w:val="99"/>
    <w:semiHidden/>
    <w:qFormat/>
    <w:rsid w:val="00A95CCF"/>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A95CCF"/>
    <w:rPr>
      <w:rFonts w:ascii="Times New Roman" w:eastAsiaTheme="minorEastAsia" w:hAnsi="Times New Roman" w:cs="Times New Roman"/>
      <w:b/>
      <w:bCs/>
      <w:i/>
      <w:iCs/>
      <w:sz w:val="24"/>
      <w:lang w:val="en-US" w:eastAsia="en-US" w:bidi="en-US"/>
    </w:rPr>
  </w:style>
  <w:style w:type="character" w:styleId="IntenseReference">
    <w:name w:val="Intense Reference"/>
    <w:uiPriority w:val="99"/>
    <w:semiHidden/>
    <w:qFormat/>
    <w:rsid w:val="00A95CCF"/>
    <w:rPr>
      <w:smallCaps/>
      <w:spacing w:val="5"/>
      <w:u w:val="single"/>
    </w:rPr>
  </w:style>
  <w:style w:type="paragraph" w:customStyle="1" w:styleId="JuAppQuestion">
    <w:name w:val="Ju_App_Question"/>
    <w:basedOn w:val="ListBullet"/>
    <w:rsid w:val="00A95CCF"/>
    <w:pPr>
      <w:numPr>
        <w:numId w:val="14"/>
      </w:numPr>
    </w:pPr>
    <w:rPr>
      <w:b/>
      <w:color w:val="333333"/>
      <w:lang w:val="en-GB"/>
    </w:rPr>
  </w:style>
  <w:style w:type="paragraph" w:customStyle="1" w:styleId="OpiPara">
    <w:name w:val="Opi_Para"/>
    <w:basedOn w:val="ECHRPara"/>
    <w:rsid w:val="00A95CCF"/>
  </w:style>
  <w:style w:type="paragraph" w:customStyle="1" w:styleId="JuParaSub">
    <w:name w:val="Ju_Para_Sub"/>
    <w:basedOn w:val="ECHRPara"/>
    <w:rsid w:val="00A95CCF"/>
    <w:pPr>
      <w:ind w:left="284"/>
    </w:pPr>
  </w:style>
  <w:style w:type="paragraph" w:customStyle="1" w:styleId="OpiParaSub">
    <w:name w:val="Opi_Para_Sub"/>
    <w:basedOn w:val="JuParaSub"/>
    <w:rsid w:val="00A95CCF"/>
  </w:style>
  <w:style w:type="paragraph" w:customStyle="1" w:styleId="OpiQuot">
    <w:name w:val="Opi_Quot"/>
    <w:basedOn w:val="ECHRParaQuote"/>
    <w:rsid w:val="00A95CCF"/>
  </w:style>
  <w:style w:type="paragraph" w:customStyle="1" w:styleId="OpiQuotSub">
    <w:name w:val="Opi_Quot_Sub"/>
    <w:basedOn w:val="JuQuotSub"/>
    <w:rsid w:val="00A95CCF"/>
  </w:style>
  <w:style w:type="paragraph" w:styleId="ListParagraph">
    <w:name w:val="List Paragraph"/>
    <w:basedOn w:val="Normal"/>
    <w:uiPriority w:val="99"/>
    <w:semiHidden/>
    <w:qFormat/>
    <w:rsid w:val="00A95CCF"/>
    <w:pPr>
      <w:ind w:left="720"/>
      <w:contextualSpacing/>
    </w:pPr>
  </w:style>
  <w:style w:type="paragraph" w:styleId="Quote">
    <w:name w:val="Quote"/>
    <w:basedOn w:val="Normal"/>
    <w:next w:val="Normal"/>
    <w:link w:val="QuoteChar"/>
    <w:uiPriority w:val="99"/>
    <w:semiHidden/>
    <w:qFormat/>
    <w:rsid w:val="00A95CCF"/>
    <w:pPr>
      <w:spacing w:before="200"/>
      <w:ind w:left="360" w:right="360"/>
    </w:pPr>
    <w:rPr>
      <w:i/>
      <w:iCs/>
      <w:lang w:bidi="en-US"/>
    </w:rPr>
  </w:style>
  <w:style w:type="character" w:customStyle="1" w:styleId="QuoteChar">
    <w:name w:val="Quote Char"/>
    <w:basedOn w:val="DefaultParagraphFont"/>
    <w:link w:val="Quote"/>
    <w:uiPriority w:val="99"/>
    <w:semiHidden/>
    <w:rsid w:val="00A95CCF"/>
    <w:rPr>
      <w:rFonts w:ascii="Times New Roman" w:eastAsiaTheme="minorEastAsia" w:hAnsi="Times New Roman" w:cs="Times New Roman"/>
      <w:i/>
      <w:iCs/>
      <w:sz w:val="24"/>
      <w:lang w:val="en-US" w:eastAsia="en-US" w:bidi="en-US"/>
    </w:rPr>
  </w:style>
  <w:style w:type="character" w:styleId="SubtleReference">
    <w:name w:val="Subtle Reference"/>
    <w:uiPriority w:val="99"/>
    <w:semiHidden/>
    <w:qFormat/>
    <w:rsid w:val="00A95CCF"/>
    <w:rPr>
      <w:smallCaps/>
    </w:rPr>
  </w:style>
  <w:style w:type="table" w:styleId="TableGrid">
    <w:name w:val="Table Grid"/>
    <w:basedOn w:val="TableNormal"/>
    <w:rsid w:val="00A95CCF"/>
    <w:pPr>
      <w:suppressAutoHyphens/>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A95CCF"/>
  </w:style>
  <w:style w:type="paragraph" w:styleId="TOC2">
    <w:name w:val="toc 2"/>
    <w:basedOn w:val="Normal"/>
    <w:next w:val="Normal"/>
    <w:autoRedefine/>
    <w:semiHidden/>
    <w:rsid w:val="00A95CCF"/>
    <w:pPr>
      <w:ind w:left="240"/>
    </w:pPr>
  </w:style>
  <w:style w:type="paragraph" w:styleId="TOC3">
    <w:name w:val="toc 3"/>
    <w:basedOn w:val="Normal"/>
    <w:next w:val="Normal"/>
    <w:autoRedefine/>
    <w:semiHidden/>
    <w:rsid w:val="00A95CCF"/>
    <w:pPr>
      <w:ind w:left="480"/>
    </w:pPr>
  </w:style>
  <w:style w:type="paragraph" w:styleId="TOC4">
    <w:name w:val="toc 4"/>
    <w:basedOn w:val="Normal"/>
    <w:next w:val="Normal"/>
    <w:autoRedefine/>
    <w:semiHidden/>
    <w:rsid w:val="00A95CCF"/>
    <w:pPr>
      <w:ind w:left="720"/>
    </w:pPr>
  </w:style>
  <w:style w:type="paragraph" w:styleId="TOC5">
    <w:name w:val="toc 5"/>
    <w:basedOn w:val="Normal"/>
    <w:next w:val="Normal"/>
    <w:autoRedefine/>
    <w:semiHidden/>
    <w:rsid w:val="00A95CCF"/>
    <w:pPr>
      <w:ind w:left="960"/>
    </w:pPr>
  </w:style>
  <w:style w:type="paragraph" w:styleId="TOCHeading">
    <w:name w:val="TOC Heading"/>
    <w:basedOn w:val="Heading1"/>
    <w:next w:val="Normal"/>
    <w:uiPriority w:val="99"/>
    <w:semiHidden/>
    <w:qFormat/>
    <w:rsid w:val="00A95CCF"/>
    <w:pPr>
      <w:outlineLvl w:val="9"/>
    </w:pPr>
    <w:rPr>
      <w:color w:val="474747" w:themeColor="accent3" w:themeShade="BF"/>
    </w:rPr>
  </w:style>
  <w:style w:type="paragraph" w:customStyle="1" w:styleId="ECHRTitleCentre3">
    <w:name w:val="ECHR_Title_Centre_3"/>
    <w:aliases w:val="Ju_H_Article"/>
    <w:basedOn w:val="ECHRHeading4"/>
    <w:next w:val="ECHRParaQuote"/>
    <w:rsid w:val="00A95CCF"/>
    <w:pPr>
      <w:ind w:left="0" w:firstLine="0"/>
      <w:jc w:val="center"/>
    </w:pPr>
  </w:style>
  <w:style w:type="paragraph" w:customStyle="1" w:styleId="ECHRTitleCentre2">
    <w:name w:val="ECHR_Title_Centre_2"/>
    <w:aliases w:val="Dec_H_Case"/>
    <w:basedOn w:val="DecHTitle"/>
    <w:next w:val="ECHRPara"/>
    <w:rsid w:val="00A95CCF"/>
    <w:rPr>
      <w:sz w:val="24"/>
    </w:rPr>
  </w:style>
  <w:style w:type="paragraph" w:customStyle="1" w:styleId="JuTitle">
    <w:name w:val="Ju_Title"/>
    <w:basedOn w:val="Normal"/>
    <w:next w:val="ECHRPara"/>
    <w:uiPriority w:val="3"/>
    <w:qFormat/>
    <w:rsid w:val="00A95CCF"/>
    <w:pPr>
      <w:spacing w:before="720" w:after="240"/>
      <w:jc w:val="center"/>
      <w:outlineLvl w:val="0"/>
    </w:pPr>
    <w:rPr>
      <w:rFonts w:asciiTheme="majorHAnsi" w:hAnsiTheme="majorHAnsi"/>
      <w:b/>
      <w:caps/>
    </w:rPr>
  </w:style>
  <w:style w:type="paragraph" w:customStyle="1" w:styleId="ECHRTitleCentre1">
    <w:name w:val="ECHR_Title_Centre_1"/>
    <w:aliases w:val="Opi_H_Head"/>
    <w:basedOn w:val="ECHRTitle1"/>
    <w:next w:val="OpiPara"/>
    <w:rsid w:val="00A95CCF"/>
    <w:pPr>
      <w:spacing w:before="0"/>
      <w:jc w:val="center"/>
    </w:pPr>
  </w:style>
  <w:style w:type="paragraph" w:customStyle="1" w:styleId="JuQuotSub">
    <w:name w:val="Ju_Quot_Sub"/>
    <w:basedOn w:val="ECHRParaQuote"/>
    <w:rsid w:val="00A95CCF"/>
    <w:pPr>
      <w:ind w:left="567"/>
    </w:pPr>
  </w:style>
  <w:style w:type="paragraph" w:customStyle="1" w:styleId="JuInitialled">
    <w:name w:val="Ju_Initialled"/>
    <w:basedOn w:val="JuSigned"/>
    <w:rsid w:val="00A95CCF"/>
    <w:pPr>
      <w:tabs>
        <w:tab w:val="clear" w:pos="851"/>
      </w:tabs>
      <w:jc w:val="right"/>
    </w:pPr>
  </w:style>
  <w:style w:type="paragraph" w:customStyle="1" w:styleId="OpiHA">
    <w:name w:val="Opi_H_A"/>
    <w:basedOn w:val="ECHRHeading1"/>
    <w:next w:val="OpiPara"/>
    <w:rsid w:val="00A95CCF"/>
    <w:pPr>
      <w:tabs>
        <w:tab w:val="clear" w:pos="357"/>
      </w:tabs>
    </w:pPr>
    <w:rPr>
      <w:b/>
    </w:rPr>
  </w:style>
  <w:style w:type="character" w:customStyle="1" w:styleId="JUNAMES0">
    <w:name w:val="JU_NAMES"/>
    <w:uiPriority w:val="17"/>
    <w:qFormat/>
    <w:rsid w:val="00A95CCF"/>
    <w:rPr>
      <w:caps w:val="0"/>
      <w:smallCaps/>
    </w:rPr>
  </w:style>
  <w:style w:type="paragraph" w:customStyle="1" w:styleId="OpiTranslation">
    <w:name w:val="Opi_Translation"/>
    <w:basedOn w:val="ECHRTitleCentre1"/>
    <w:next w:val="OpiPara"/>
    <w:rsid w:val="00A95CCF"/>
    <w:rPr>
      <w:i/>
      <w:sz w:val="24"/>
    </w:rPr>
  </w:style>
  <w:style w:type="paragraph" w:customStyle="1" w:styleId="DecHTitle">
    <w:name w:val="Dec_H_Title"/>
    <w:basedOn w:val="NormalTimesNewRoman"/>
    <w:rsid w:val="00A95CCF"/>
    <w:pPr>
      <w:spacing w:after="240"/>
      <w:jc w:val="center"/>
      <w:outlineLvl w:val="0"/>
    </w:pPr>
    <w:rPr>
      <w:sz w:val="28"/>
    </w:rPr>
  </w:style>
  <w:style w:type="paragraph" w:styleId="TOAHeading">
    <w:name w:val="toa heading"/>
    <w:basedOn w:val="Normal"/>
    <w:next w:val="Normal"/>
    <w:semiHidden/>
    <w:rsid w:val="00A95CCF"/>
    <w:pPr>
      <w:spacing w:before="120"/>
    </w:pPr>
    <w:rPr>
      <w:rFonts w:ascii="Arial" w:hAnsi="Arial" w:cs="Arial"/>
      <w:b/>
      <w:bCs/>
      <w:szCs w:val="24"/>
    </w:rPr>
  </w:style>
  <w:style w:type="paragraph" w:customStyle="1" w:styleId="ECHRHeading3">
    <w:name w:val="ECHR_Heading_3"/>
    <w:aliases w:val="Ju_H_1."/>
    <w:basedOn w:val="ECHRHeading2"/>
    <w:next w:val="ECHRPara"/>
    <w:rsid w:val="00A95CCF"/>
    <w:pPr>
      <w:tabs>
        <w:tab w:val="clear" w:pos="584"/>
        <w:tab w:val="left" w:pos="731"/>
      </w:tabs>
      <w:spacing w:before="240" w:after="120"/>
      <w:ind w:left="732" w:hanging="301"/>
      <w:outlineLvl w:val="3"/>
    </w:pPr>
    <w:rPr>
      <w:b w:val="0"/>
      <w:i/>
    </w:rPr>
  </w:style>
  <w:style w:type="paragraph" w:customStyle="1" w:styleId="ECHRHeading4">
    <w:name w:val="ECHR_Heading_4"/>
    <w:aliases w:val="Ju_H_a"/>
    <w:basedOn w:val="ECHRHeading3"/>
    <w:next w:val="ECHRPara"/>
    <w:rsid w:val="00A95CCF"/>
    <w:pPr>
      <w:tabs>
        <w:tab w:val="clear" w:pos="731"/>
        <w:tab w:val="left" w:pos="975"/>
      </w:tabs>
      <w:ind w:left="975" w:hanging="340"/>
      <w:outlineLvl w:val="4"/>
    </w:pPr>
    <w:rPr>
      <w:b/>
      <w:i w:val="0"/>
      <w:sz w:val="20"/>
    </w:rPr>
  </w:style>
  <w:style w:type="paragraph" w:customStyle="1" w:styleId="ECHRHeading5">
    <w:name w:val="ECHR_Heading_5"/>
    <w:aliases w:val="Ju_H_i"/>
    <w:basedOn w:val="ECHRHeading4"/>
    <w:next w:val="ECHRPara"/>
    <w:rsid w:val="00A95CCF"/>
    <w:pPr>
      <w:tabs>
        <w:tab w:val="clear" w:pos="975"/>
        <w:tab w:val="left" w:pos="1191"/>
      </w:tabs>
      <w:ind w:left="1190" w:hanging="357"/>
      <w:outlineLvl w:val="5"/>
    </w:pPr>
    <w:rPr>
      <w:b w:val="0"/>
      <w:i/>
    </w:rPr>
  </w:style>
  <w:style w:type="paragraph" w:customStyle="1" w:styleId="ECHRHeading6">
    <w:name w:val="ECHR_Heading_6"/>
    <w:aliases w:val="Ju_H_alpha"/>
    <w:basedOn w:val="ECHRHeading5"/>
    <w:next w:val="ECHRPara"/>
    <w:rsid w:val="00A95CCF"/>
    <w:pPr>
      <w:tabs>
        <w:tab w:val="clear" w:pos="1191"/>
        <w:tab w:val="left" w:pos="1372"/>
      </w:tabs>
      <w:ind w:left="1373" w:hanging="335"/>
      <w:outlineLvl w:val="9"/>
    </w:pPr>
    <w:rPr>
      <w:i w:val="0"/>
    </w:rPr>
  </w:style>
  <w:style w:type="paragraph" w:customStyle="1" w:styleId="ECHRHeading7">
    <w:name w:val="ECHR_Heading_7"/>
    <w:aliases w:val="Ju_H_–"/>
    <w:basedOn w:val="ECHRHeading6"/>
    <w:next w:val="ECHRPara"/>
    <w:rsid w:val="00A95CCF"/>
    <w:pPr>
      <w:tabs>
        <w:tab w:val="clear" w:pos="1372"/>
      </w:tabs>
      <w:ind w:left="1236" w:firstLine="0"/>
    </w:pPr>
    <w:rPr>
      <w:i/>
    </w:rPr>
  </w:style>
  <w:style w:type="paragraph" w:customStyle="1" w:styleId="DecList">
    <w:name w:val="Dec_List"/>
    <w:basedOn w:val="NormalTimesNewRoman"/>
    <w:rsid w:val="00A95CCF"/>
    <w:pPr>
      <w:spacing w:before="240"/>
      <w:ind w:left="284"/>
      <w:jc w:val="both"/>
    </w:pPr>
  </w:style>
  <w:style w:type="paragraph" w:customStyle="1" w:styleId="OpiH1">
    <w:name w:val="Opi_H_1"/>
    <w:basedOn w:val="ECHRHeading2"/>
    <w:uiPriority w:val="42"/>
    <w:qFormat/>
    <w:rsid w:val="00A95CCF"/>
    <w:pPr>
      <w:ind w:left="635" w:hanging="357"/>
    </w:pPr>
  </w:style>
  <w:style w:type="paragraph" w:customStyle="1" w:styleId="OpiHa0">
    <w:name w:val="Opi_H_a"/>
    <w:basedOn w:val="OpiH10"/>
    <w:next w:val="OpiPara"/>
    <w:rsid w:val="00A95CCF"/>
    <w:pPr>
      <w:ind w:left="833"/>
      <w:outlineLvl w:val="3"/>
    </w:pPr>
    <w:rPr>
      <w:b/>
      <w:i w:val="0"/>
      <w:sz w:val="20"/>
    </w:rPr>
  </w:style>
  <w:style w:type="paragraph" w:customStyle="1" w:styleId="OpiHi">
    <w:name w:val="Opi_H_i"/>
    <w:basedOn w:val="OpiHa0"/>
    <w:next w:val="OpiPara"/>
    <w:rsid w:val="00A95CCF"/>
    <w:pPr>
      <w:ind w:left="1037"/>
      <w:outlineLvl w:val="4"/>
    </w:pPr>
    <w:rPr>
      <w:b w:val="0"/>
      <w:i/>
    </w:rPr>
  </w:style>
  <w:style w:type="numbering" w:styleId="111111">
    <w:name w:val="Outline List 2"/>
    <w:basedOn w:val="NoList"/>
    <w:rsid w:val="00A95CCF"/>
    <w:pPr>
      <w:numPr>
        <w:numId w:val="2"/>
      </w:numPr>
    </w:pPr>
  </w:style>
  <w:style w:type="numbering" w:styleId="1ai">
    <w:name w:val="Outline List 1"/>
    <w:basedOn w:val="NoList"/>
    <w:rsid w:val="00A95CCF"/>
    <w:pPr>
      <w:numPr>
        <w:numId w:val="3"/>
      </w:numPr>
    </w:pPr>
  </w:style>
  <w:style w:type="numbering" w:styleId="ArticleSection">
    <w:name w:val="Outline List 3"/>
    <w:basedOn w:val="NoList"/>
    <w:rsid w:val="00A95CCF"/>
    <w:pPr>
      <w:numPr>
        <w:numId w:val="4"/>
      </w:numPr>
    </w:pPr>
  </w:style>
  <w:style w:type="paragraph" w:styleId="Bibliography">
    <w:name w:val="Bibliography"/>
    <w:basedOn w:val="Normal"/>
    <w:next w:val="Normal"/>
    <w:uiPriority w:val="99"/>
    <w:semiHidden/>
    <w:unhideWhenUsed/>
    <w:rsid w:val="000C4043"/>
  </w:style>
  <w:style w:type="paragraph" w:styleId="BlockText">
    <w:name w:val="Block Text"/>
    <w:basedOn w:val="Normal"/>
    <w:rsid w:val="00A95CCF"/>
    <w:pPr>
      <w:spacing w:after="120"/>
      <w:ind w:left="1440" w:right="1440"/>
    </w:pPr>
  </w:style>
  <w:style w:type="paragraph" w:styleId="BodyText">
    <w:name w:val="Body Text"/>
    <w:basedOn w:val="Normal"/>
    <w:link w:val="BodyTextChar"/>
    <w:rsid w:val="00A95CCF"/>
    <w:pPr>
      <w:spacing w:after="120"/>
    </w:pPr>
  </w:style>
  <w:style w:type="character" w:customStyle="1" w:styleId="BodyTextChar">
    <w:name w:val="Body Text Char"/>
    <w:basedOn w:val="DefaultParagraphFont"/>
    <w:link w:val="BodyText"/>
    <w:rsid w:val="000C4043"/>
    <w:rPr>
      <w:rFonts w:ascii="Times New Roman" w:eastAsia="Times New Roman" w:hAnsi="Times New Roman" w:cs="Times New Roman"/>
      <w:sz w:val="24"/>
      <w:szCs w:val="20"/>
    </w:rPr>
  </w:style>
  <w:style w:type="paragraph" w:styleId="BodyText2">
    <w:name w:val="Body Text 2"/>
    <w:basedOn w:val="Normal"/>
    <w:link w:val="BodyText2Char"/>
    <w:rsid w:val="00A95CCF"/>
    <w:pPr>
      <w:spacing w:after="120" w:line="480" w:lineRule="auto"/>
    </w:pPr>
  </w:style>
  <w:style w:type="character" w:customStyle="1" w:styleId="BodyText2Char">
    <w:name w:val="Body Text 2 Char"/>
    <w:basedOn w:val="DefaultParagraphFont"/>
    <w:link w:val="BodyText2"/>
    <w:rsid w:val="000C4043"/>
    <w:rPr>
      <w:rFonts w:ascii="Times New Roman" w:eastAsia="Times New Roman" w:hAnsi="Times New Roman" w:cs="Times New Roman"/>
      <w:sz w:val="24"/>
      <w:szCs w:val="20"/>
    </w:rPr>
  </w:style>
  <w:style w:type="paragraph" w:styleId="BodyText3">
    <w:name w:val="Body Text 3"/>
    <w:basedOn w:val="Normal"/>
    <w:link w:val="BodyText3Char"/>
    <w:rsid w:val="00A95CCF"/>
    <w:pPr>
      <w:spacing w:after="120"/>
    </w:pPr>
    <w:rPr>
      <w:sz w:val="16"/>
      <w:szCs w:val="16"/>
    </w:rPr>
  </w:style>
  <w:style w:type="character" w:customStyle="1" w:styleId="BodyText3Char">
    <w:name w:val="Body Text 3 Char"/>
    <w:basedOn w:val="DefaultParagraphFont"/>
    <w:link w:val="BodyText3"/>
    <w:rsid w:val="000C4043"/>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A95CCF"/>
    <w:pPr>
      <w:ind w:firstLine="210"/>
    </w:pPr>
  </w:style>
  <w:style w:type="character" w:customStyle="1" w:styleId="BodyTextFirstIndentChar">
    <w:name w:val="Body Text First Indent Char"/>
    <w:basedOn w:val="BodyTextChar"/>
    <w:link w:val="BodyTextFirstIndent"/>
    <w:rsid w:val="000C4043"/>
    <w:rPr>
      <w:rFonts w:ascii="Times New Roman" w:eastAsia="Times New Roman" w:hAnsi="Times New Roman" w:cs="Times New Roman"/>
      <w:sz w:val="24"/>
      <w:szCs w:val="20"/>
    </w:rPr>
  </w:style>
  <w:style w:type="paragraph" w:styleId="BodyTextIndent">
    <w:name w:val="Body Text Indent"/>
    <w:basedOn w:val="Normal"/>
    <w:link w:val="BodyTextIndentChar"/>
    <w:rsid w:val="00A95CCF"/>
    <w:pPr>
      <w:spacing w:after="120"/>
      <w:ind w:left="283"/>
    </w:pPr>
  </w:style>
  <w:style w:type="character" w:customStyle="1" w:styleId="BodyTextIndentChar">
    <w:name w:val="Body Text Indent Char"/>
    <w:basedOn w:val="DefaultParagraphFont"/>
    <w:link w:val="BodyTextIndent"/>
    <w:rsid w:val="000C4043"/>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A95CCF"/>
    <w:pPr>
      <w:ind w:firstLine="210"/>
    </w:pPr>
  </w:style>
  <w:style w:type="character" w:customStyle="1" w:styleId="BodyTextFirstIndent2Char">
    <w:name w:val="Body Text First Indent 2 Char"/>
    <w:basedOn w:val="BodyTextIndentChar"/>
    <w:link w:val="BodyTextFirstIndent2"/>
    <w:rsid w:val="000C4043"/>
    <w:rPr>
      <w:rFonts w:ascii="Times New Roman" w:eastAsia="Times New Roman" w:hAnsi="Times New Roman" w:cs="Times New Roman"/>
      <w:sz w:val="24"/>
      <w:szCs w:val="20"/>
    </w:rPr>
  </w:style>
  <w:style w:type="paragraph" w:styleId="BodyTextIndent2">
    <w:name w:val="Body Text Indent 2"/>
    <w:basedOn w:val="Normal"/>
    <w:link w:val="BodyTextIndent2Char"/>
    <w:rsid w:val="00A95CCF"/>
    <w:pPr>
      <w:spacing w:after="120" w:line="480" w:lineRule="auto"/>
      <w:ind w:left="283"/>
    </w:pPr>
  </w:style>
  <w:style w:type="character" w:customStyle="1" w:styleId="BodyTextIndent2Char">
    <w:name w:val="Body Text Indent 2 Char"/>
    <w:basedOn w:val="DefaultParagraphFont"/>
    <w:link w:val="BodyTextIndent2"/>
    <w:rsid w:val="000C4043"/>
    <w:rPr>
      <w:rFonts w:ascii="Times New Roman" w:eastAsia="Times New Roman" w:hAnsi="Times New Roman" w:cs="Times New Roman"/>
      <w:sz w:val="24"/>
      <w:szCs w:val="20"/>
    </w:rPr>
  </w:style>
  <w:style w:type="paragraph" w:styleId="BodyTextIndent3">
    <w:name w:val="Body Text Indent 3"/>
    <w:basedOn w:val="Normal"/>
    <w:link w:val="BodyTextIndent3Char"/>
    <w:rsid w:val="00A95CCF"/>
    <w:pPr>
      <w:spacing w:after="120"/>
      <w:ind w:left="283"/>
    </w:pPr>
    <w:rPr>
      <w:sz w:val="16"/>
      <w:szCs w:val="16"/>
    </w:rPr>
  </w:style>
  <w:style w:type="character" w:customStyle="1" w:styleId="BodyTextIndent3Char">
    <w:name w:val="Body Text Indent 3 Char"/>
    <w:basedOn w:val="DefaultParagraphFont"/>
    <w:link w:val="BodyTextIndent3"/>
    <w:rsid w:val="000C4043"/>
    <w:rPr>
      <w:rFonts w:ascii="Times New Roman" w:eastAsia="Times New Roman" w:hAnsi="Times New Roman" w:cs="Times New Roman"/>
      <w:sz w:val="16"/>
      <w:szCs w:val="16"/>
    </w:rPr>
  </w:style>
  <w:style w:type="paragraph" w:styleId="Caption">
    <w:name w:val="caption"/>
    <w:basedOn w:val="Normal"/>
    <w:next w:val="Normal"/>
    <w:qFormat/>
    <w:rsid w:val="00A95CCF"/>
    <w:rPr>
      <w:b/>
      <w:bCs/>
      <w:sz w:val="20"/>
    </w:rPr>
  </w:style>
  <w:style w:type="paragraph" w:styleId="Closing">
    <w:name w:val="Closing"/>
    <w:basedOn w:val="Normal"/>
    <w:link w:val="ClosingChar"/>
    <w:rsid w:val="00A95CCF"/>
    <w:pPr>
      <w:ind w:left="4252"/>
    </w:pPr>
  </w:style>
  <w:style w:type="character" w:customStyle="1" w:styleId="ClosingChar">
    <w:name w:val="Closing Char"/>
    <w:basedOn w:val="DefaultParagraphFont"/>
    <w:link w:val="Closing"/>
    <w:rsid w:val="000C4043"/>
    <w:rPr>
      <w:rFonts w:ascii="Times New Roman" w:eastAsia="Times New Roman" w:hAnsi="Times New Roman" w:cs="Times New Roman"/>
      <w:sz w:val="24"/>
      <w:szCs w:val="20"/>
    </w:rPr>
  </w:style>
  <w:style w:type="table" w:styleId="ColorfulGrid">
    <w:name w:val="Colorful Grid"/>
    <w:basedOn w:val="TableNormal"/>
    <w:uiPriority w:val="99"/>
    <w:semiHidden/>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C4043"/>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C4043"/>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C4043"/>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C4043"/>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C4043"/>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C4043"/>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C4043"/>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rsid w:val="00A95CCF"/>
  </w:style>
  <w:style w:type="character" w:customStyle="1" w:styleId="DateChar">
    <w:name w:val="Date Char"/>
    <w:basedOn w:val="DefaultParagraphFont"/>
    <w:link w:val="Date"/>
    <w:rsid w:val="000C4043"/>
    <w:rPr>
      <w:rFonts w:ascii="Times New Roman" w:eastAsia="Times New Roman" w:hAnsi="Times New Roman" w:cs="Times New Roman"/>
      <w:sz w:val="24"/>
      <w:szCs w:val="20"/>
    </w:rPr>
  </w:style>
  <w:style w:type="paragraph" w:styleId="E-mailSignature">
    <w:name w:val="E-mail Signature"/>
    <w:basedOn w:val="Normal"/>
    <w:link w:val="E-mailSignatureChar"/>
    <w:rsid w:val="00A95CCF"/>
  </w:style>
  <w:style w:type="character" w:customStyle="1" w:styleId="E-mailSignatureChar">
    <w:name w:val="E-mail Signature Char"/>
    <w:basedOn w:val="DefaultParagraphFont"/>
    <w:link w:val="E-mailSignature"/>
    <w:rsid w:val="000C4043"/>
    <w:rPr>
      <w:rFonts w:ascii="Times New Roman" w:eastAsia="Times New Roman" w:hAnsi="Times New Roman" w:cs="Times New Roman"/>
      <w:sz w:val="24"/>
      <w:szCs w:val="20"/>
    </w:rPr>
  </w:style>
  <w:style w:type="paragraph" w:styleId="EnvelopeAddress">
    <w:name w:val="envelope address"/>
    <w:basedOn w:val="Normal"/>
    <w:rsid w:val="00A95CC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A95CCF"/>
    <w:rPr>
      <w:rFonts w:ascii="Arial" w:hAnsi="Arial" w:cs="Arial"/>
      <w:sz w:val="20"/>
    </w:rPr>
  </w:style>
  <w:style w:type="character" w:styleId="HTMLAcronym">
    <w:name w:val="HTML Acronym"/>
    <w:basedOn w:val="DefaultParagraphFont"/>
    <w:rsid w:val="00A95CCF"/>
    <w:rPr>
      <w:rFonts w:ascii="Times New Roman" w:hAnsi="Times New Roman" w:cs="Times New Roman"/>
    </w:rPr>
  </w:style>
  <w:style w:type="paragraph" w:styleId="HTMLAddress">
    <w:name w:val="HTML Address"/>
    <w:basedOn w:val="Normal"/>
    <w:link w:val="HTMLAddressChar"/>
    <w:rsid w:val="00A95CCF"/>
    <w:rPr>
      <w:i/>
      <w:iCs/>
    </w:rPr>
  </w:style>
  <w:style w:type="character" w:customStyle="1" w:styleId="HTMLAddressChar">
    <w:name w:val="HTML Address Char"/>
    <w:basedOn w:val="DefaultParagraphFont"/>
    <w:link w:val="HTMLAddress"/>
    <w:rsid w:val="000C4043"/>
    <w:rPr>
      <w:rFonts w:ascii="Times New Roman" w:eastAsia="Times New Roman" w:hAnsi="Times New Roman" w:cs="Times New Roman"/>
      <w:i/>
      <w:iCs/>
      <w:sz w:val="24"/>
      <w:szCs w:val="20"/>
    </w:rPr>
  </w:style>
  <w:style w:type="character" w:styleId="HTMLCite">
    <w:name w:val="HTML Cite"/>
    <w:basedOn w:val="DefaultParagraphFont"/>
    <w:rsid w:val="00A95CCF"/>
    <w:rPr>
      <w:rFonts w:ascii="Times New Roman" w:hAnsi="Times New Roman" w:cs="Times New Roman"/>
      <w:i/>
      <w:iCs/>
    </w:rPr>
  </w:style>
  <w:style w:type="character" w:styleId="HTMLCode">
    <w:name w:val="HTML Code"/>
    <w:basedOn w:val="DefaultParagraphFont"/>
    <w:rsid w:val="00A95CCF"/>
    <w:rPr>
      <w:rFonts w:ascii="Courier New" w:hAnsi="Courier New" w:cs="Courier New"/>
      <w:sz w:val="20"/>
      <w:szCs w:val="20"/>
    </w:rPr>
  </w:style>
  <w:style w:type="character" w:styleId="HTMLDefinition">
    <w:name w:val="HTML Definition"/>
    <w:basedOn w:val="DefaultParagraphFont"/>
    <w:rsid w:val="00A95CCF"/>
    <w:rPr>
      <w:rFonts w:ascii="Times New Roman" w:hAnsi="Times New Roman" w:cs="Times New Roman"/>
      <w:i/>
      <w:iCs/>
    </w:rPr>
  </w:style>
  <w:style w:type="character" w:styleId="HTMLKeyboard">
    <w:name w:val="HTML Keyboard"/>
    <w:basedOn w:val="DefaultParagraphFont"/>
    <w:rsid w:val="00A95CCF"/>
    <w:rPr>
      <w:rFonts w:ascii="Courier New" w:hAnsi="Courier New" w:cs="Courier New"/>
      <w:sz w:val="20"/>
      <w:szCs w:val="20"/>
    </w:rPr>
  </w:style>
  <w:style w:type="paragraph" w:styleId="HTMLPreformatted">
    <w:name w:val="HTML Preformatted"/>
    <w:basedOn w:val="Normal"/>
    <w:link w:val="HTMLPreformattedChar"/>
    <w:rsid w:val="00A95CCF"/>
    <w:rPr>
      <w:rFonts w:ascii="Courier New" w:hAnsi="Courier New" w:cs="Courier New"/>
      <w:sz w:val="20"/>
    </w:rPr>
  </w:style>
  <w:style w:type="character" w:customStyle="1" w:styleId="HTMLPreformattedChar">
    <w:name w:val="HTML Preformatted Char"/>
    <w:basedOn w:val="DefaultParagraphFont"/>
    <w:link w:val="HTMLPreformatted"/>
    <w:rsid w:val="000C4043"/>
    <w:rPr>
      <w:rFonts w:ascii="Courier New" w:eastAsia="Times New Roman" w:hAnsi="Courier New" w:cs="Courier New"/>
      <w:sz w:val="20"/>
      <w:szCs w:val="20"/>
    </w:rPr>
  </w:style>
  <w:style w:type="character" w:styleId="HTMLSample">
    <w:name w:val="HTML Sample"/>
    <w:basedOn w:val="DefaultParagraphFont"/>
    <w:rsid w:val="00A95CCF"/>
    <w:rPr>
      <w:rFonts w:ascii="Courier New" w:hAnsi="Courier New" w:cs="Courier New"/>
    </w:rPr>
  </w:style>
  <w:style w:type="character" w:styleId="HTMLTypewriter">
    <w:name w:val="HTML Typewriter"/>
    <w:basedOn w:val="DefaultParagraphFont"/>
    <w:rsid w:val="00A95CCF"/>
    <w:rPr>
      <w:rFonts w:ascii="Courier New" w:hAnsi="Courier New" w:cs="Courier New"/>
      <w:sz w:val="20"/>
      <w:szCs w:val="20"/>
    </w:rPr>
  </w:style>
  <w:style w:type="character" w:styleId="HTMLVariable">
    <w:name w:val="HTML Variable"/>
    <w:basedOn w:val="DefaultParagraphFont"/>
    <w:rsid w:val="00A95CCF"/>
    <w:rPr>
      <w:rFonts w:ascii="Times New Roman" w:hAnsi="Times New Roman" w:cs="Times New Roman"/>
      <w:i/>
      <w:iCs/>
    </w:rPr>
  </w:style>
  <w:style w:type="paragraph" w:styleId="Index1">
    <w:name w:val="index 1"/>
    <w:basedOn w:val="Normal"/>
    <w:next w:val="Normal"/>
    <w:autoRedefine/>
    <w:semiHidden/>
    <w:rsid w:val="00A95CCF"/>
    <w:pPr>
      <w:ind w:left="240" w:hanging="240"/>
    </w:pPr>
  </w:style>
  <w:style w:type="paragraph" w:styleId="Index2">
    <w:name w:val="index 2"/>
    <w:basedOn w:val="Normal"/>
    <w:next w:val="Normal"/>
    <w:autoRedefine/>
    <w:semiHidden/>
    <w:rsid w:val="00A95CCF"/>
    <w:pPr>
      <w:ind w:left="480" w:hanging="240"/>
    </w:pPr>
  </w:style>
  <w:style w:type="paragraph" w:styleId="Index3">
    <w:name w:val="index 3"/>
    <w:basedOn w:val="Normal"/>
    <w:next w:val="Normal"/>
    <w:autoRedefine/>
    <w:semiHidden/>
    <w:rsid w:val="00A95CCF"/>
    <w:pPr>
      <w:ind w:left="720" w:hanging="240"/>
    </w:pPr>
  </w:style>
  <w:style w:type="paragraph" w:styleId="Index4">
    <w:name w:val="index 4"/>
    <w:basedOn w:val="Normal"/>
    <w:next w:val="Normal"/>
    <w:autoRedefine/>
    <w:semiHidden/>
    <w:rsid w:val="00A95CCF"/>
    <w:pPr>
      <w:ind w:left="960" w:hanging="240"/>
    </w:pPr>
  </w:style>
  <w:style w:type="paragraph" w:styleId="Index5">
    <w:name w:val="index 5"/>
    <w:basedOn w:val="Normal"/>
    <w:next w:val="Normal"/>
    <w:autoRedefine/>
    <w:semiHidden/>
    <w:rsid w:val="00A95CCF"/>
    <w:pPr>
      <w:ind w:left="1200" w:hanging="240"/>
    </w:pPr>
  </w:style>
  <w:style w:type="paragraph" w:styleId="Index6">
    <w:name w:val="index 6"/>
    <w:basedOn w:val="Normal"/>
    <w:next w:val="Normal"/>
    <w:autoRedefine/>
    <w:semiHidden/>
    <w:rsid w:val="00A95CCF"/>
    <w:pPr>
      <w:ind w:left="1440" w:hanging="240"/>
    </w:pPr>
  </w:style>
  <w:style w:type="paragraph" w:styleId="Index7">
    <w:name w:val="index 7"/>
    <w:basedOn w:val="Normal"/>
    <w:next w:val="Normal"/>
    <w:autoRedefine/>
    <w:semiHidden/>
    <w:rsid w:val="00A95CCF"/>
    <w:pPr>
      <w:ind w:left="1680" w:hanging="240"/>
    </w:pPr>
  </w:style>
  <w:style w:type="paragraph" w:styleId="Index8">
    <w:name w:val="index 8"/>
    <w:basedOn w:val="Normal"/>
    <w:next w:val="Normal"/>
    <w:autoRedefine/>
    <w:semiHidden/>
    <w:rsid w:val="00A95CCF"/>
    <w:pPr>
      <w:ind w:left="1920" w:hanging="240"/>
    </w:pPr>
  </w:style>
  <w:style w:type="paragraph" w:styleId="Index9">
    <w:name w:val="index 9"/>
    <w:basedOn w:val="Normal"/>
    <w:next w:val="Normal"/>
    <w:autoRedefine/>
    <w:semiHidden/>
    <w:rsid w:val="00A95CCF"/>
    <w:pPr>
      <w:ind w:left="2160" w:hanging="240"/>
    </w:pPr>
  </w:style>
  <w:style w:type="paragraph" w:styleId="IndexHeading">
    <w:name w:val="index heading"/>
    <w:basedOn w:val="Normal"/>
    <w:next w:val="Index1"/>
    <w:semiHidden/>
    <w:rsid w:val="00A95CCF"/>
    <w:rPr>
      <w:rFonts w:ascii="Arial" w:hAnsi="Arial" w:cs="Arial"/>
      <w:b/>
      <w:bCs/>
    </w:rPr>
  </w:style>
  <w:style w:type="table" w:styleId="LightGrid">
    <w:name w:val="Light Grid"/>
    <w:basedOn w:val="TableNormal"/>
    <w:uiPriority w:val="99"/>
    <w:semiHidden/>
    <w:rsid w:val="000C404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C4043"/>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C4043"/>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C4043"/>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C4043"/>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C4043"/>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C4043"/>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C404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C4043"/>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C4043"/>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C4043"/>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C4043"/>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C4043"/>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C4043"/>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C404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C4043"/>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C4043"/>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C4043"/>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C4043"/>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C4043"/>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C4043"/>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rsid w:val="00A95CCF"/>
    <w:rPr>
      <w:rFonts w:ascii="Times New Roman" w:hAnsi="Times New Roman" w:cs="Times New Roman"/>
    </w:rPr>
  </w:style>
  <w:style w:type="paragraph" w:styleId="List">
    <w:name w:val="List"/>
    <w:basedOn w:val="Normal"/>
    <w:rsid w:val="00A95CCF"/>
    <w:pPr>
      <w:ind w:left="283" w:hanging="283"/>
    </w:pPr>
  </w:style>
  <w:style w:type="paragraph" w:styleId="List2">
    <w:name w:val="List 2"/>
    <w:basedOn w:val="Normal"/>
    <w:rsid w:val="00A95CCF"/>
    <w:pPr>
      <w:ind w:left="566" w:hanging="283"/>
    </w:pPr>
  </w:style>
  <w:style w:type="paragraph" w:styleId="List3">
    <w:name w:val="List 3"/>
    <w:basedOn w:val="Normal"/>
    <w:rsid w:val="00A95CCF"/>
    <w:pPr>
      <w:ind w:left="849" w:hanging="283"/>
    </w:pPr>
  </w:style>
  <w:style w:type="paragraph" w:styleId="List4">
    <w:name w:val="List 4"/>
    <w:basedOn w:val="Normal"/>
    <w:rsid w:val="00A95CCF"/>
    <w:pPr>
      <w:ind w:left="1132" w:hanging="283"/>
    </w:pPr>
  </w:style>
  <w:style w:type="paragraph" w:styleId="List5">
    <w:name w:val="List 5"/>
    <w:basedOn w:val="Normal"/>
    <w:rsid w:val="00A95CCF"/>
    <w:pPr>
      <w:ind w:left="1415" w:hanging="283"/>
    </w:pPr>
  </w:style>
  <w:style w:type="paragraph" w:styleId="ListBullet2">
    <w:name w:val="List Bullet 2"/>
    <w:basedOn w:val="Normal"/>
    <w:rsid w:val="00A95CCF"/>
    <w:pPr>
      <w:numPr>
        <w:numId w:val="5"/>
      </w:numPr>
    </w:pPr>
  </w:style>
  <w:style w:type="paragraph" w:styleId="ListBullet3">
    <w:name w:val="List Bullet 3"/>
    <w:basedOn w:val="Normal"/>
    <w:rsid w:val="00A95CCF"/>
    <w:pPr>
      <w:numPr>
        <w:numId w:val="6"/>
      </w:numPr>
    </w:pPr>
  </w:style>
  <w:style w:type="paragraph" w:styleId="ListBullet4">
    <w:name w:val="List Bullet 4"/>
    <w:basedOn w:val="Normal"/>
    <w:rsid w:val="00A95CCF"/>
    <w:pPr>
      <w:numPr>
        <w:numId w:val="7"/>
      </w:numPr>
    </w:pPr>
  </w:style>
  <w:style w:type="paragraph" w:styleId="ListBullet5">
    <w:name w:val="List Bullet 5"/>
    <w:basedOn w:val="Normal"/>
    <w:rsid w:val="00A95CCF"/>
    <w:pPr>
      <w:numPr>
        <w:numId w:val="8"/>
      </w:numPr>
    </w:pPr>
  </w:style>
  <w:style w:type="paragraph" w:styleId="ListContinue">
    <w:name w:val="List Continue"/>
    <w:basedOn w:val="Normal"/>
    <w:rsid w:val="00A95CCF"/>
    <w:pPr>
      <w:spacing w:after="120"/>
      <w:ind w:left="283"/>
    </w:pPr>
  </w:style>
  <w:style w:type="paragraph" w:styleId="ListContinue2">
    <w:name w:val="List Continue 2"/>
    <w:basedOn w:val="Normal"/>
    <w:rsid w:val="00A95CCF"/>
    <w:pPr>
      <w:spacing w:after="120"/>
      <w:ind w:left="566"/>
    </w:pPr>
  </w:style>
  <w:style w:type="paragraph" w:styleId="ListContinue3">
    <w:name w:val="List Continue 3"/>
    <w:basedOn w:val="Normal"/>
    <w:rsid w:val="00A95CCF"/>
    <w:pPr>
      <w:spacing w:after="120"/>
      <w:ind w:left="849"/>
    </w:pPr>
  </w:style>
  <w:style w:type="paragraph" w:styleId="ListContinue4">
    <w:name w:val="List Continue 4"/>
    <w:basedOn w:val="Normal"/>
    <w:rsid w:val="00A95CCF"/>
    <w:pPr>
      <w:spacing w:after="120"/>
      <w:ind w:left="1132"/>
    </w:pPr>
  </w:style>
  <w:style w:type="paragraph" w:styleId="ListContinue5">
    <w:name w:val="List Continue 5"/>
    <w:basedOn w:val="Normal"/>
    <w:rsid w:val="00A95CCF"/>
    <w:pPr>
      <w:spacing w:after="120"/>
      <w:ind w:left="1415"/>
    </w:pPr>
  </w:style>
  <w:style w:type="paragraph" w:styleId="ListNumber">
    <w:name w:val="List Number"/>
    <w:basedOn w:val="Normal"/>
    <w:rsid w:val="00A95CCF"/>
    <w:pPr>
      <w:numPr>
        <w:numId w:val="9"/>
      </w:numPr>
    </w:pPr>
  </w:style>
  <w:style w:type="paragraph" w:styleId="ListNumber2">
    <w:name w:val="List Number 2"/>
    <w:basedOn w:val="Normal"/>
    <w:rsid w:val="00A95CCF"/>
    <w:pPr>
      <w:numPr>
        <w:numId w:val="10"/>
      </w:numPr>
    </w:pPr>
  </w:style>
  <w:style w:type="paragraph" w:styleId="ListNumber3">
    <w:name w:val="List Number 3"/>
    <w:basedOn w:val="Normal"/>
    <w:rsid w:val="00A95CCF"/>
    <w:pPr>
      <w:numPr>
        <w:numId w:val="11"/>
      </w:numPr>
    </w:pPr>
  </w:style>
  <w:style w:type="paragraph" w:styleId="ListNumber4">
    <w:name w:val="List Number 4"/>
    <w:basedOn w:val="Normal"/>
    <w:rsid w:val="00A95CCF"/>
    <w:pPr>
      <w:numPr>
        <w:numId w:val="12"/>
      </w:numPr>
    </w:pPr>
  </w:style>
  <w:style w:type="paragraph" w:styleId="ListNumber5">
    <w:name w:val="List Number 5"/>
    <w:basedOn w:val="Normal"/>
    <w:rsid w:val="00A95CCF"/>
    <w:pPr>
      <w:numPr>
        <w:numId w:val="13"/>
      </w:numPr>
    </w:pPr>
  </w:style>
  <w:style w:type="paragraph" w:styleId="MacroText">
    <w:name w:val="macro"/>
    <w:link w:val="MacroTextChar"/>
    <w:semiHidden/>
    <w:rsid w:val="00A95CCF"/>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0C4043"/>
    <w:rPr>
      <w:rFonts w:ascii="Courier New" w:eastAsia="Times New Roman" w:hAnsi="Courier New" w:cs="Courier New"/>
      <w:sz w:val="20"/>
      <w:szCs w:val="20"/>
    </w:rPr>
  </w:style>
  <w:style w:type="table" w:styleId="MediumGrid1">
    <w:name w:val="Medium Grid 1"/>
    <w:basedOn w:val="TableNormal"/>
    <w:uiPriority w:val="99"/>
    <w:semiHidden/>
    <w:rsid w:val="000C404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C4043"/>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C4043"/>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C4043"/>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C4043"/>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C4043"/>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C4043"/>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C404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C4043"/>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C4043"/>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C4043"/>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C4043"/>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C4043"/>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C4043"/>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C404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C4043"/>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C4043"/>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C4043"/>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C4043"/>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C4043"/>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C4043"/>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A95CC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rsid w:val="000C4043"/>
    <w:rPr>
      <w:rFonts w:ascii="Arial" w:eastAsia="Times New Roman" w:hAnsi="Arial" w:cs="Arial"/>
      <w:sz w:val="24"/>
      <w:szCs w:val="24"/>
      <w:shd w:val="pct20" w:color="auto" w:fill="auto"/>
    </w:rPr>
  </w:style>
  <w:style w:type="paragraph" w:styleId="NormalWeb">
    <w:name w:val="Normal (Web)"/>
    <w:basedOn w:val="Normal"/>
    <w:rsid w:val="00A95CCF"/>
    <w:rPr>
      <w:szCs w:val="24"/>
    </w:rPr>
  </w:style>
  <w:style w:type="paragraph" w:styleId="NormalIndent">
    <w:name w:val="Normal Indent"/>
    <w:basedOn w:val="Normal"/>
    <w:rsid w:val="00A95CCF"/>
    <w:pPr>
      <w:ind w:left="720"/>
    </w:pPr>
  </w:style>
  <w:style w:type="paragraph" w:styleId="NoteHeading">
    <w:name w:val="Note Heading"/>
    <w:basedOn w:val="Normal"/>
    <w:next w:val="Normal"/>
    <w:link w:val="NoteHeadingChar"/>
    <w:rsid w:val="00A95CCF"/>
  </w:style>
  <w:style w:type="character" w:customStyle="1" w:styleId="NoteHeadingChar">
    <w:name w:val="Note Heading Char"/>
    <w:basedOn w:val="DefaultParagraphFont"/>
    <w:link w:val="NoteHeading"/>
    <w:rsid w:val="000C4043"/>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0C4043"/>
    <w:rPr>
      <w:rFonts w:ascii="Times New Roman" w:hAnsi="Times New Roman" w:cs="Times New Roman"/>
      <w:color w:val="808080"/>
    </w:rPr>
  </w:style>
  <w:style w:type="paragraph" w:styleId="PlainText">
    <w:name w:val="Plain Text"/>
    <w:basedOn w:val="Normal"/>
    <w:link w:val="PlainTextChar"/>
    <w:rsid w:val="00A95CCF"/>
    <w:rPr>
      <w:rFonts w:ascii="Courier New" w:hAnsi="Courier New" w:cs="Courier New"/>
      <w:sz w:val="20"/>
    </w:rPr>
  </w:style>
  <w:style w:type="character" w:customStyle="1" w:styleId="PlainTextChar">
    <w:name w:val="Plain Text Char"/>
    <w:basedOn w:val="DefaultParagraphFont"/>
    <w:link w:val="PlainText"/>
    <w:rsid w:val="000C4043"/>
    <w:rPr>
      <w:rFonts w:ascii="Courier New" w:eastAsia="Times New Roman" w:hAnsi="Courier New" w:cs="Courier New"/>
      <w:sz w:val="20"/>
      <w:szCs w:val="20"/>
    </w:rPr>
  </w:style>
  <w:style w:type="paragraph" w:styleId="Salutation">
    <w:name w:val="Salutation"/>
    <w:basedOn w:val="Normal"/>
    <w:next w:val="Normal"/>
    <w:link w:val="SalutationChar"/>
    <w:rsid w:val="00A95CCF"/>
  </w:style>
  <w:style w:type="character" w:customStyle="1" w:styleId="SalutationChar">
    <w:name w:val="Salutation Char"/>
    <w:basedOn w:val="DefaultParagraphFont"/>
    <w:link w:val="Salutation"/>
    <w:rsid w:val="000C4043"/>
    <w:rPr>
      <w:rFonts w:ascii="Times New Roman" w:eastAsia="Times New Roman" w:hAnsi="Times New Roman" w:cs="Times New Roman"/>
      <w:sz w:val="24"/>
      <w:szCs w:val="20"/>
    </w:rPr>
  </w:style>
  <w:style w:type="paragraph" w:styleId="Signature">
    <w:name w:val="Signature"/>
    <w:basedOn w:val="Normal"/>
    <w:link w:val="SignatureChar"/>
    <w:rsid w:val="00A95CCF"/>
    <w:pPr>
      <w:ind w:left="4252"/>
    </w:pPr>
  </w:style>
  <w:style w:type="character" w:customStyle="1" w:styleId="SignatureChar">
    <w:name w:val="Signature Char"/>
    <w:basedOn w:val="DefaultParagraphFont"/>
    <w:link w:val="Signature"/>
    <w:rsid w:val="000C4043"/>
    <w:rPr>
      <w:rFonts w:ascii="Times New Roman" w:eastAsia="Times New Roman" w:hAnsi="Times New Roman" w:cs="Times New Roman"/>
      <w:sz w:val="24"/>
      <w:szCs w:val="20"/>
    </w:rPr>
  </w:style>
  <w:style w:type="table" w:styleId="Table3Deffects1">
    <w:name w:val="Table 3D effects 1"/>
    <w:basedOn w:val="TableNormal"/>
    <w:rsid w:val="00A95CCF"/>
    <w:pPr>
      <w:suppressAutoHyphens/>
    </w:pPr>
    <w:rPr>
      <w:rFonts w:ascii="Times New Roman" w:eastAsia="Times New Roman" w:hAnsi="Times New Roman" w:cs="Times New Roman"/>
      <w:sz w:val="20"/>
      <w:szCs w:val="20"/>
      <w:lang w:val="en-US"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95CCF"/>
    <w:pPr>
      <w:suppressAutoHyphens/>
    </w:pPr>
    <w:rPr>
      <w:rFonts w:ascii="Times New Roman" w:eastAsia="Times New Roman" w:hAnsi="Times New Roman" w:cs="Times New Roman"/>
      <w:sz w:val="20"/>
      <w:szCs w:val="20"/>
      <w:lang w:val="en-US"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95CCF"/>
    <w:pPr>
      <w:suppressAutoHyphens/>
    </w:pPr>
    <w:rPr>
      <w:rFonts w:ascii="Times New Roman" w:eastAsia="Times New Roman" w:hAnsi="Times New Roman" w:cs="Times New Roman"/>
      <w:sz w:val="20"/>
      <w:szCs w:val="20"/>
      <w:lang w:val="en-US"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95CCF"/>
    <w:pPr>
      <w:suppressAutoHyphens/>
    </w:pPr>
    <w:rPr>
      <w:rFonts w:ascii="Times New Roman" w:eastAsia="Times New Roman" w:hAnsi="Times New Roman" w:cs="Times New Roman"/>
      <w:sz w:val="20"/>
      <w:szCs w:val="20"/>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95CCF"/>
    <w:pPr>
      <w:suppressAutoHyphens/>
    </w:pPr>
    <w:rPr>
      <w:rFonts w:ascii="Times New Roman" w:eastAsia="Times New Roman" w:hAnsi="Times New Roman" w:cs="Times New Roman"/>
      <w:sz w:val="20"/>
      <w:szCs w:val="20"/>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95CCF"/>
    <w:pPr>
      <w:suppressAutoHyphens/>
    </w:pPr>
    <w:rPr>
      <w:rFonts w:ascii="Times New Roman" w:eastAsia="Times New Roman" w:hAnsi="Times New Roman" w:cs="Times New Roman"/>
      <w:color w:val="000080"/>
      <w:sz w:val="20"/>
      <w:szCs w:val="20"/>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95CCF"/>
    <w:pPr>
      <w:suppressAutoHyphens/>
    </w:pPr>
    <w:rPr>
      <w:rFonts w:ascii="Times New Roman" w:eastAsia="Times New Roman" w:hAnsi="Times New Roman" w:cs="Times New Roman"/>
      <w:sz w:val="20"/>
      <w:szCs w:val="20"/>
      <w:lang w:val="en-US"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95CCF"/>
    <w:pPr>
      <w:suppressAutoHyphens/>
    </w:pPr>
    <w:rPr>
      <w:rFonts w:ascii="Times New Roman" w:eastAsia="Times New Roman" w:hAnsi="Times New Roman" w:cs="Times New Roman"/>
      <w:color w:val="FFFFFF"/>
      <w:sz w:val="20"/>
      <w:szCs w:val="20"/>
      <w:lang w:val="en-US"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95CCF"/>
    <w:pPr>
      <w:suppressAutoHyphens/>
    </w:pPr>
    <w:rPr>
      <w:rFonts w:ascii="Times New Roman" w:eastAsia="Times New Roman" w:hAnsi="Times New Roman" w:cs="Times New Roman"/>
      <w:sz w:val="20"/>
      <w:szCs w:val="20"/>
      <w:lang w:val="en-US"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95CCF"/>
    <w:pPr>
      <w:suppressAutoHyphens/>
    </w:pPr>
    <w:rPr>
      <w:rFonts w:ascii="Times New Roman" w:eastAsia="Times New Roman" w:hAnsi="Times New Roman" w:cs="Times New Roman"/>
      <w:sz w:val="20"/>
      <w:szCs w:val="20"/>
      <w:lang w:val="en-US"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95CCF"/>
    <w:pPr>
      <w:suppressAutoHyphens/>
    </w:pPr>
    <w:rPr>
      <w:rFonts w:ascii="Times New Roman" w:eastAsia="Times New Roman" w:hAnsi="Times New Roman" w:cs="Times New Roman"/>
      <w:b/>
      <w:bCs/>
      <w:sz w:val="20"/>
      <w:szCs w:val="20"/>
      <w:lang w:val="en-US"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95CCF"/>
    <w:pPr>
      <w:suppressAutoHyphens/>
    </w:pPr>
    <w:rPr>
      <w:rFonts w:ascii="Times New Roman" w:eastAsia="Times New Roman" w:hAnsi="Times New Roman" w:cs="Times New Roman"/>
      <w:b/>
      <w:bCs/>
      <w:sz w:val="20"/>
      <w:szCs w:val="20"/>
      <w:lang w:val="en-US"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95CCF"/>
    <w:pPr>
      <w:suppressAutoHyphens/>
    </w:pPr>
    <w:rPr>
      <w:rFonts w:ascii="Times New Roman" w:eastAsia="Times New Roman" w:hAnsi="Times New Roman" w:cs="Times New Roman"/>
      <w:b/>
      <w:bCs/>
      <w:sz w:val="20"/>
      <w:szCs w:val="20"/>
      <w:lang w:val="en-US"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95CCF"/>
    <w:pPr>
      <w:suppressAutoHyphens/>
    </w:pPr>
    <w:rPr>
      <w:rFonts w:ascii="Times New Roman" w:eastAsia="Times New Roman" w:hAnsi="Times New Roman" w:cs="Times New Roman"/>
      <w:sz w:val="20"/>
      <w:szCs w:val="20"/>
      <w:lang w:val="en-US"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95CCF"/>
    <w:pPr>
      <w:suppressAutoHyphens/>
    </w:pPr>
    <w:rPr>
      <w:rFonts w:ascii="Times New Roman" w:eastAsia="Times New Roman" w:hAnsi="Times New Roman" w:cs="Times New Roman"/>
      <w:sz w:val="20"/>
      <w:szCs w:val="20"/>
      <w:lang w:val="en-US"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95CCF"/>
    <w:pPr>
      <w:suppressAutoHyphens/>
    </w:pPr>
    <w:rPr>
      <w:rFonts w:ascii="Times New Roman" w:eastAsia="Times New Roman" w:hAnsi="Times New Roman" w:cs="Times New Roman"/>
      <w:sz w:val="20"/>
      <w:szCs w:val="20"/>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95CCF"/>
    <w:pPr>
      <w:suppressAutoHyphens/>
    </w:pPr>
    <w:rPr>
      <w:rFonts w:ascii="Times New Roman" w:eastAsia="Times New Roman" w:hAnsi="Times New Roman" w:cs="Times New Roman"/>
      <w:sz w:val="20"/>
      <w:szCs w:val="20"/>
      <w:lang w:val="en-US"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95CCF"/>
    <w:pPr>
      <w:suppressAutoHyphens/>
    </w:pPr>
    <w:rPr>
      <w:rFonts w:ascii="Times New Roman" w:eastAsia="Times New Roman" w:hAnsi="Times New Roman" w:cs="Times New Roman"/>
      <w:sz w:val="20"/>
      <w:szCs w:val="20"/>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95CCF"/>
    <w:pPr>
      <w:suppressAutoHyphens/>
    </w:pPr>
    <w:rPr>
      <w:rFonts w:ascii="Times New Roman" w:eastAsia="Times New Roman" w:hAnsi="Times New Roman" w:cs="Times New Roman"/>
      <w:sz w:val="20"/>
      <w:szCs w:val="20"/>
      <w:lang w:val="en-US"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95CCF"/>
    <w:pPr>
      <w:suppressAutoHyphens/>
    </w:pPr>
    <w:rPr>
      <w:rFonts w:ascii="Times New Roman" w:eastAsia="Times New Roman" w:hAnsi="Times New Roman" w:cs="Times New Roman"/>
      <w:sz w:val="20"/>
      <w:szCs w:val="20"/>
      <w:lang w:val="en-US"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95CCF"/>
    <w:pPr>
      <w:suppressAutoHyphens/>
    </w:pPr>
    <w:rPr>
      <w:rFonts w:ascii="Times New Roman" w:eastAsia="Times New Roman" w:hAnsi="Times New Roman" w:cs="Times New Roman"/>
      <w:sz w:val="20"/>
      <w:szCs w:val="20"/>
      <w:lang w:val="en-US"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95CCF"/>
    <w:pPr>
      <w:suppressAutoHyphens/>
    </w:pPr>
    <w:rPr>
      <w:rFonts w:ascii="Times New Roman" w:eastAsia="Times New Roman" w:hAnsi="Times New Roman" w:cs="Times New Roman"/>
      <w:sz w:val="20"/>
      <w:szCs w:val="20"/>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95CCF"/>
    <w:pPr>
      <w:suppressAutoHyphens/>
    </w:pPr>
    <w:rPr>
      <w:rFonts w:ascii="Times New Roman" w:eastAsia="Times New Roman" w:hAnsi="Times New Roman" w:cs="Times New Roman"/>
      <w:sz w:val="20"/>
      <w:szCs w:val="20"/>
      <w:lang w:val="en-US"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95CCF"/>
    <w:pPr>
      <w:suppressAutoHyphens/>
    </w:pPr>
    <w:rPr>
      <w:rFonts w:ascii="Times New Roman" w:eastAsia="Times New Roman" w:hAnsi="Times New Roman" w:cs="Times New Roman"/>
      <w:b/>
      <w:bCs/>
      <w:sz w:val="20"/>
      <w:szCs w:val="20"/>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95CCF"/>
    <w:pPr>
      <w:suppressAutoHyphens/>
    </w:pPr>
    <w:rPr>
      <w:rFonts w:ascii="Times New Roman" w:eastAsia="Times New Roman" w:hAnsi="Times New Roman" w:cs="Times New Roman"/>
      <w:sz w:val="20"/>
      <w:szCs w:val="20"/>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95CCF"/>
    <w:pPr>
      <w:suppressAutoHyphens/>
    </w:pPr>
    <w:rPr>
      <w:rFonts w:ascii="Times New Roman" w:eastAsia="Times New Roman" w:hAnsi="Times New Roman" w:cs="Times New Roman"/>
      <w:sz w:val="20"/>
      <w:szCs w:val="20"/>
      <w:lang w:val="en-US"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95CCF"/>
    <w:pPr>
      <w:suppressAutoHyphens/>
    </w:pPr>
    <w:rPr>
      <w:rFonts w:ascii="Times New Roman" w:eastAsia="Times New Roman" w:hAnsi="Times New Roman" w:cs="Times New Roman"/>
      <w:sz w:val="20"/>
      <w:szCs w:val="20"/>
      <w:lang w:val="en-US"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95CCF"/>
    <w:pPr>
      <w:suppressAutoHyphens/>
    </w:pPr>
    <w:rPr>
      <w:rFonts w:ascii="Times New Roman" w:eastAsia="Times New Roman" w:hAnsi="Times New Roman" w:cs="Times New Roman"/>
      <w:sz w:val="20"/>
      <w:szCs w:val="20"/>
      <w:lang w:val="en-US"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95CCF"/>
    <w:pPr>
      <w:suppressAutoHyphens/>
    </w:pPr>
    <w:rPr>
      <w:rFonts w:ascii="Times New Roman" w:eastAsia="Times New Roman" w:hAnsi="Times New Roman" w:cs="Times New Roman"/>
      <w:sz w:val="20"/>
      <w:szCs w:val="20"/>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95CCF"/>
    <w:pPr>
      <w:suppressAutoHyphens/>
    </w:pPr>
    <w:rPr>
      <w:rFonts w:ascii="Times New Roman" w:eastAsia="Times New Roman" w:hAnsi="Times New Roman" w:cs="Times New Roman"/>
      <w:sz w:val="20"/>
      <w:szCs w:val="20"/>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95CCF"/>
    <w:pPr>
      <w:suppressAutoHyphens/>
    </w:pPr>
    <w:rPr>
      <w:rFonts w:ascii="Times New Roman" w:eastAsia="Times New Roman" w:hAnsi="Times New Roman" w:cs="Times New Roman"/>
      <w:sz w:val="20"/>
      <w:szCs w:val="20"/>
      <w:lang w:val="en-US"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95CCF"/>
    <w:pPr>
      <w:suppressAutoHyphens/>
    </w:pPr>
    <w:rPr>
      <w:rFonts w:ascii="Times New Roman" w:eastAsia="Times New Roman" w:hAnsi="Times New Roman" w:cs="Times New Roman"/>
      <w:sz w:val="20"/>
      <w:szCs w:val="20"/>
      <w:lang w:val="en-US"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95CCF"/>
    <w:pPr>
      <w:suppressAutoHyphens/>
    </w:pPr>
    <w:rPr>
      <w:rFonts w:ascii="Times New Roman" w:eastAsia="Times New Roman" w:hAnsi="Times New Roman" w:cs="Times New Roman"/>
      <w:sz w:val="20"/>
      <w:szCs w:val="20"/>
      <w:lang w:val="en-US"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95CCF"/>
    <w:pPr>
      <w:ind w:left="240" w:hanging="240"/>
    </w:pPr>
  </w:style>
  <w:style w:type="paragraph" w:styleId="TableofFigures">
    <w:name w:val="table of figures"/>
    <w:basedOn w:val="Normal"/>
    <w:next w:val="Normal"/>
    <w:semiHidden/>
    <w:rsid w:val="00A95CCF"/>
  </w:style>
  <w:style w:type="table" w:styleId="TableProfessional">
    <w:name w:val="Table Professional"/>
    <w:basedOn w:val="TableNormal"/>
    <w:rsid w:val="00A95CCF"/>
    <w:pPr>
      <w:suppressAutoHyphens/>
    </w:pPr>
    <w:rPr>
      <w:rFonts w:ascii="Times New Roman" w:eastAsia="Times New Roman" w:hAnsi="Times New Roman" w:cs="Times New Roman"/>
      <w:sz w:val="20"/>
      <w:szCs w:val="20"/>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95CCF"/>
    <w:pPr>
      <w:suppressAutoHyphens/>
    </w:pPr>
    <w:rPr>
      <w:rFonts w:ascii="Times New Roman" w:eastAsia="Times New Roman" w:hAnsi="Times New Roman" w:cs="Times New Roman"/>
      <w:sz w:val="20"/>
      <w:szCs w:val="20"/>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95CCF"/>
    <w:pPr>
      <w:suppressAutoHyphens/>
    </w:pPr>
    <w:rPr>
      <w:rFonts w:ascii="Times New Roman" w:eastAsia="Times New Roman" w:hAnsi="Times New Roman" w:cs="Times New Roman"/>
      <w:sz w:val="20"/>
      <w:szCs w:val="20"/>
      <w:lang w:val="en-US"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95CCF"/>
    <w:pPr>
      <w:suppressAutoHyphens/>
    </w:pPr>
    <w:rPr>
      <w:rFonts w:ascii="Times New Roman" w:eastAsia="Times New Roman" w:hAnsi="Times New Roman" w:cs="Times New Roman"/>
      <w:sz w:val="20"/>
      <w:szCs w:val="20"/>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95CCF"/>
    <w:pPr>
      <w:suppressAutoHyphens/>
    </w:pPr>
    <w:rPr>
      <w:rFonts w:ascii="Times New Roman" w:eastAsia="Times New Roman" w:hAnsi="Times New Roman" w:cs="Times New Roman"/>
      <w:sz w:val="20"/>
      <w:szCs w:val="20"/>
      <w:lang w:val="en-US"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95CCF"/>
    <w:pPr>
      <w:suppressAutoHyphens/>
    </w:pPr>
    <w:rPr>
      <w:rFonts w:ascii="Times New Roman" w:eastAsia="Times New Roman" w:hAnsi="Times New Roman" w:cs="Times New Roman"/>
      <w:sz w:val="20"/>
      <w:szCs w:val="20"/>
      <w:lang w:val="en-US"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95CCF"/>
    <w:pPr>
      <w:suppressAutoHyphens/>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95CCF"/>
    <w:pPr>
      <w:suppressAutoHyphens/>
    </w:pPr>
    <w:rPr>
      <w:rFonts w:ascii="Times New Roman" w:eastAsia="Times New Roman" w:hAnsi="Times New Roman" w:cs="Times New Roman"/>
      <w:sz w:val="20"/>
      <w:szCs w:val="20"/>
      <w:lang w:val="en-US"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95CCF"/>
    <w:pPr>
      <w:suppressAutoHyphens/>
    </w:pPr>
    <w:rPr>
      <w:rFonts w:ascii="Times New Roman" w:eastAsia="Times New Roman" w:hAnsi="Times New Roman" w:cs="Times New Roman"/>
      <w:sz w:val="20"/>
      <w:szCs w:val="20"/>
      <w:lang w:val="en-US"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95CCF"/>
    <w:pPr>
      <w:suppressAutoHyphens/>
    </w:pPr>
    <w:rPr>
      <w:rFonts w:ascii="Times New Roman" w:eastAsia="Times New Roman" w:hAnsi="Times New Roman" w:cs="Times New Roman"/>
      <w:sz w:val="20"/>
      <w:szCs w:val="20"/>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semiHidden/>
    <w:rsid w:val="00A95CCF"/>
    <w:pPr>
      <w:ind w:left="1200"/>
    </w:pPr>
  </w:style>
  <w:style w:type="paragraph" w:styleId="TOC7">
    <w:name w:val="toc 7"/>
    <w:basedOn w:val="Normal"/>
    <w:next w:val="Normal"/>
    <w:autoRedefine/>
    <w:semiHidden/>
    <w:rsid w:val="00A95CCF"/>
    <w:pPr>
      <w:ind w:left="1440"/>
    </w:pPr>
  </w:style>
  <w:style w:type="paragraph" w:styleId="TOC8">
    <w:name w:val="toc 8"/>
    <w:basedOn w:val="Normal"/>
    <w:next w:val="Normal"/>
    <w:autoRedefine/>
    <w:semiHidden/>
    <w:rsid w:val="00A95CCF"/>
    <w:pPr>
      <w:ind w:left="1680"/>
    </w:pPr>
  </w:style>
  <w:style w:type="paragraph" w:styleId="TOC9">
    <w:name w:val="toc 9"/>
    <w:basedOn w:val="Normal"/>
    <w:next w:val="Normal"/>
    <w:autoRedefine/>
    <w:semiHidden/>
    <w:rsid w:val="00A95CCF"/>
    <w:pPr>
      <w:ind w:left="1920"/>
    </w:pPr>
  </w:style>
  <w:style w:type="paragraph" w:customStyle="1" w:styleId="JuParaChar">
    <w:name w:val="Ju_Para Char"/>
    <w:basedOn w:val="Normal"/>
    <w:link w:val="JuParaCharChar"/>
    <w:rsid w:val="00D81E5B"/>
    <w:pPr>
      <w:ind w:firstLine="284"/>
    </w:pPr>
  </w:style>
  <w:style w:type="character" w:customStyle="1" w:styleId="JuParaCharChar">
    <w:name w:val="Ju_Para Char Char"/>
    <w:link w:val="JuParaChar"/>
    <w:rsid w:val="00D81E5B"/>
    <w:rPr>
      <w:rFonts w:eastAsiaTheme="minorEastAsia"/>
      <w:sz w:val="24"/>
      <w:lang w:val="en-US" w:eastAsia="en-US"/>
    </w:rPr>
  </w:style>
  <w:style w:type="character" w:customStyle="1" w:styleId="sb8d990e2">
    <w:name w:val="sb8d990e2"/>
    <w:rsid w:val="00D81E5B"/>
  </w:style>
  <w:style w:type="character" w:customStyle="1" w:styleId="wordhighlighted">
    <w:name w:val="wordhighlighted"/>
    <w:rsid w:val="005B3EB2"/>
  </w:style>
  <w:style w:type="character" w:customStyle="1" w:styleId="textcolumn">
    <w:name w:val="textcolumn"/>
    <w:basedOn w:val="DefaultParagraphFont"/>
    <w:rsid w:val="005B3EB2"/>
    <w:rPr>
      <w:rFonts w:ascii="Times New Roman" w:hAnsi="Times New Roman" w:cs="Times New Roman"/>
    </w:rPr>
  </w:style>
  <w:style w:type="character" w:customStyle="1" w:styleId="JuHAChar">
    <w:name w:val="Ju_H_A Char"/>
    <w:basedOn w:val="DefaultParagraphFont"/>
    <w:link w:val="ECHRHeading2"/>
    <w:rsid w:val="005B3EB2"/>
    <w:rPr>
      <w:rFonts w:ascii="Times New Roman" w:eastAsia="Times New Roman" w:hAnsi="Times New Roman" w:cs="Times New Roman"/>
      <w:b/>
      <w:sz w:val="24"/>
      <w:szCs w:val="20"/>
    </w:rPr>
  </w:style>
  <w:style w:type="paragraph" w:customStyle="1" w:styleId="s30eec3f8">
    <w:name w:val="s30eec3f8"/>
    <w:basedOn w:val="Normal"/>
    <w:rsid w:val="0059350F"/>
    <w:pPr>
      <w:spacing w:before="100" w:beforeAutospacing="1" w:after="100" w:afterAutospacing="1"/>
    </w:pPr>
    <w:rPr>
      <w:szCs w:val="24"/>
    </w:rPr>
  </w:style>
  <w:style w:type="character" w:customStyle="1" w:styleId="sdfc50a6a">
    <w:name w:val="sdfc50a6a"/>
    <w:basedOn w:val="DefaultParagraphFont"/>
    <w:rsid w:val="00BF2DCF"/>
    <w:rPr>
      <w:rFonts w:ascii="Times New Roman" w:hAnsi="Times New Roman" w:cs="Times New Roman"/>
    </w:rPr>
  </w:style>
  <w:style w:type="character" w:customStyle="1" w:styleId="s6b621b36">
    <w:name w:val="s6b621b36"/>
    <w:rsid w:val="00A82BD8"/>
  </w:style>
  <w:style w:type="character" w:customStyle="1" w:styleId="sea881cdf">
    <w:name w:val="sea881cdf"/>
    <w:rsid w:val="00AC0C2E"/>
  </w:style>
  <w:style w:type="character" w:customStyle="1" w:styleId="s7d2086b4">
    <w:name w:val="s7d2086b4"/>
    <w:basedOn w:val="DefaultParagraphFont"/>
    <w:rsid w:val="00027D01"/>
    <w:rPr>
      <w:rFonts w:ascii="Times New Roman" w:hAnsi="Times New Roman" w:cs="Times New Roman"/>
    </w:rPr>
  </w:style>
  <w:style w:type="paragraph" w:styleId="Revision">
    <w:name w:val="Revision"/>
    <w:hidden/>
    <w:uiPriority w:val="99"/>
    <w:semiHidden/>
    <w:rsid w:val="00843F37"/>
    <w:rPr>
      <w:rFonts w:eastAsiaTheme="minorEastAsia"/>
      <w:sz w:val="24"/>
      <w:lang w:val="en-US" w:eastAsia="en-US"/>
    </w:rPr>
  </w:style>
  <w:style w:type="table" w:customStyle="1" w:styleId="ECHRListTable">
    <w:name w:val="ECHR_List_Table"/>
    <w:basedOn w:val="TableNormal"/>
    <w:uiPriority w:val="99"/>
    <w:rsid w:val="00A95CCF"/>
    <w:rPr>
      <w:lang w:val="en-US" w:eastAsia="en-US"/>
    </w:rPr>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DummyStyle">
    <w:name w:val="Dummy_Style"/>
    <w:basedOn w:val="Normal"/>
    <w:semiHidden/>
    <w:qFormat/>
    <w:rsid w:val="00A95CCF"/>
    <w:rPr>
      <w:color w:val="00B050"/>
      <w:lang w:bidi="en-US"/>
    </w:rPr>
  </w:style>
  <w:style w:type="paragraph" w:customStyle="1" w:styleId="PubJuPara">
    <w:name w:val="Pub_Ju_Para"/>
    <w:basedOn w:val="NormalTimesNewRoman"/>
    <w:rsid w:val="00A95CCF"/>
    <w:pPr>
      <w:ind w:firstLine="284"/>
      <w:jc w:val="both"/>
    </w:pPr>
  </w:style>
  <w:style w:type="paragraph" w:customStyle="1" w:styleId="PubJuQuot">
    <w:name w:val="Pub_Ju_Quot"/>
    <w:basedOn w:val="NormalTimesNewRoman"/>
    <w:rsid w:val="00A95CCF"/>
    <w:pPr>
      <w:spacing w:before="120" w:after="120"/>
      <w:ind w:left="403" w:firstLine="176"/>
      <w:jc w:val="both"/>
    </w:pPr>
    <w:rPr>
      <w:sz w:val="20"/>
    </w:rPr>
  </w:style>
  <w:style w:type="paragraph" w:customStyle="1" w:styleId="PubListArticleSubject">
    <w:name w:val="Pub_List_ArticleSubject"/>
    <w:basedOn w:val="NormalTimesNewRoman"/>
    <w:rsid w:val="00A95CCF"/>
    <w:pPr>
      <w:tabs>
        <w:tab w:val="left" w:pos="2977"/>
      </w:tabs>
      <w:ind w:left="2977" w:hanging="2977"/>
    </w:pPr>
  </w:style>
  <w:style w:type="paragraph" w:customStyle="1" w:styleId="OpiH10">
    <w:name w:val="Opi_H_1."/>
    <w:basedOn w:val="OpiHA"/>
    <w:next w:val="OpiPara"/>
    <w:rsid w:val="00A95CCF"/>
    <w:pPr>
      <w:spacing w:before="240" w:after="120"/>
      <w:ind w:left="635"/>
      <w:outlineLvl w:val="2"/>
    </w:pPr>
    <w:rPr>
      <w:b w:val="0"/>
      <w:i/>
    </w:rPr>
  </w:style>
  <w:style w:type="paragraph" w:customStyle="1" w:styleId="PubListCaseNo">
    <w:name w:val="Pub_List_CaseNo"/>
    <w:basedOn w:val="NormalTimesNewRoman"/>
    <w:rsid w:val="00A95CCF"/>
    <w:pPr>
      <w:tabs>
        <w:tab w:val="left" w:pos="1276"/>
      </w:tabs>
      <w:spacing w:line="288" w:lineRule="auto"/>
      <w:ind w:left="1276" w:hanging="1276"/>
    </w:pPr>
  </w:style>
  <w:style w:type="paragraph" w:customStyle="1" w:styleId="SuCoverTitle1">
    <w:name w:val="Su_Cover_Title1"/>
    <w:basedOn w:val="NormalTimesNewRoman"/>
    <w:next w:val="SuCoverTitle2"/>
    <w:rsid w:val="00A95CCF"/>
    <w:pPr>
      <w:spacing w:before="2500"/>
      <w:jc w:val="center"/>
    </w:pPr>
    <w:rPr>
      <w:sz w:val="22"/>
    </w:rPr>
  </w:style>
  <w:style w:type="paragraph" w:customStyle="1" w:styleId="SuCoverTitle2">
    <w:name w:val="Su_Cover_Title2"/>
    <w:basedOn w:val="SuCoverTitle1"/>
    <w:next w:val="Normal"/>
    <w:rsid w:val="00A95CCF"/>
    <w:pPr>
      <w:spacing w:before="240"/>
    </w:pPr>
    <w:rPr>
      <w:sz w:val="18"/>
    </w:rPr>
  </w:style>
  <w:style w:type="paragraph" w:customStyle="1" w:styleId="SuPara">
    <w:name w:val="Su_Para"/>
    <w:basedOn w:val="SuKeywords"/>
    <w:rsid w:val="00A95CCF"/>
    <w:pPr>
      <w:spacing w:before="0" w:after="0"/>
    </w:pPr>
    <w:rPr>
      <w:i w:val="0"/>
    </w:rPr>
  </w:style>
  <w:style w:type="paragraph" w:customStyle="1" w:styleId="SuKeywords">
    <w:name w:val="Su_Keywords"/>
    <w:basedOn w:val="SuHHead"/>
    <w:rsid w:val="00A95CCF"/>
    <w:pPr>
      <w:spacing w:before="120"/>
    </w:pPr>
    <w:rPr>
      <w:b w:val="0"/>
      <w:i/>
    </w:rPr>
  </w:style>
  <w:style w:type="paragraph" w:customStyle="1" w:styleId="SuHHead">
    <w:name w:val="Su_H_Head"/>
    <w:basedOn w:val="SuSubject"/>
    <w:rsid w:val="00A95CCF"/>
    <w:pPr>
      <w:spacing w:after="120"/>
    </w:pPr>
  </w:style>
  <w:style w:type="paragraph" w:customStyle="1" w:styleId="SuSubject">
    <w:name w:val="Su_Subject"/>
    <w:basedOn w:val="SuSummary"/>
    <w:rsid w:val="00A95CCF"/>
    <w:pPr>
      <w:spacing w:before="360"/>
      <w:jc w:val="both"/>
    </w:pPr>
    <w:rPr>
      <w:b/>
      <w:sz w:val="22"/>
    </w:rPr>
  </w:style>
  <w:style w:type="paragraph" w:customStyle="1" w:styleId="SuSummary">
    <w:name w:val="Su_Summary"/>
    <w:basedOn w:val="NormalTimesNewRoman"/>
    <w:next w:val="SuSubject"/>
    <w:rsid w:val="00A95CCF"/>
    <w:pPr>
      <w:spacing w:after="240"/>
      <w:jc w:val="center"/>
    </w:pPr>
  </w:style>
  <w:style w:type="paragraph" w:customStyle="1" w:styleId="PubListCases">
    <w:name w:val="Pub_List_Cases"/>
    <w:basedOn w:val="NormalTimesNewRoman"/>
    <w:rsid w:val="00A95CCF"/>
    <w:pPr>
      <w:spacing w:line="288" w:lineRule="auto"/>
    </w:pPr>
  </w:style>
  <w:style w:type="paragraph" w:customStyle="1" w:styleId="PTextIntro">
    <w:name w:val="P_Text_Intro"/>
    <w:basedOn w:val="NormalTimesNewRoman"/>
    <w:rsid w:val="00A95CCF"/>
    <w:pPr>
      <w:jc w:val="both"/>
    </w:pPr>
    <w:rPr>
      <w:i/>
      <w:sz w:val="20"/>
    </w:rPr>
  </w:style>
  <w:style w:type="paragraph" w:customStyle="1" w:styleId="PubTitleCover">
    <w:name w:val="Pub_Title_Cover"/>
    <w:basedOn w:val="NormalTimesNewRoman"/>
    <w:rsid w:val="00A95CCF"/>
    <w:pPr>
      <w:spacing w:before="2500"/>
      <w:jc w:val="center"/>
    </w:pPr>
    <w:rPr>
      <w:b/>
      <w:smallCaps/>
      <w:sz w:val="30"/>
    </w:rPr>
  </w:style>
  <w:style w:type="paragraph" w:customStyle="1" w:styleId="PubTitle1Alpha">
    <w:name w:val="Pub_Title1_Alpha"/>
    <w:basedOn w:val="NormalTimesNewRoman"/>
    <w:next w:val="Normal"/>
    <w:rsid w:val="00A95CCF"/>
    <w:pPr>
      <w:spacing w:after="120"/>
      <w:jc w:val="center"/>
    </w:pPr>
    <w:rPr>
      <w:b/>
      <w:smallCaps/>
      <w:sz w:val="30"/>
    </w:rPr>
  </w:style>
  <w:style w:type="paragraph" w:customStyle="1" w:styleId="PubTitle1IndexArticle">
    <w:name w:val="Pub_Title1_IndexArticle"/>
    <w:basedOn w:val="NormalTimesNewRoman"/>
    <w:rsid w:val="00A95CCF"/>
    <w:pPr>
      <w:spacing w:after="120"/>
      <w:jc w:val="center"/>
    </w:pPr>
    <w:rPr>
      <w:b/>
      <w:smallCaps/>
      <w:sz w:val="30"/>
    </w:rPr>
  </w:style>
  <w:style w:type="paragraph" w:customStyle="1" w:styleId="PubTitle1IndexKey">
    <w:name w:val="Pub_Title1_IndexKey"/>
    <w:basedOn w:val="NormalTimesNewRoman"/>
    <w:rsid w:val="00A95CCF"/>
    <w:pPr>
      <w:spacing w:after="600"/>
      <w:jc w:val="center"/>
    </w:pPr>
    <w:rPr>
      <w:b/>
      <w:smallCaps/>
      <w:sz w:val="30"/>
    </w:rPr>
  </w:style>
  <w:style w:type="paragraph" w:customStyle="1" w:styleId="PubTitle1Num">
    <w:name w:val="Pub_Title1_Num"/>
    <w:basedOn w:val="NormalTimesNewRoman"/>
    <w:next w:val="PubListCaseNo"/>
    <w:rsid w:val="00A95CCF"/>
    <w:pPr>
      <w:spacing w:after="720"/>
      <w:jc w:val="center"/>
    </w:pPr>
    <w:rPr>
      <w:b/>
      <w:smallCaps/>
      <w:sz w:val="30"/>
    </w:rPr>
  </w:style>
  <w:style w:type="paragraph" w:customStyle="1" w:styleId="PubTitle2Country">
    <w:name w:val="Pub_Title2_Country"/>
    <w:basedOn w:val="NormalTimesNewRoman"/>
    <w:next w:val="PubListCases"/>
    <w:rsid w:val="00A95CCF"/>
    <w:pPr>
      <w:keepNext/>
      <w:keepLines/>
      <w:spacing w:before="600" w:after="360"/>
    </w:pPr>
    <w:rPr>
      <w:b/>
    </w:rPr>
  </w:style>
  <w:style w:type="paragraph" w:customStyle="1" w:styleId="PubTitle2Letters">
    <w:name w:val="Pub_Title2_Letters"/>
    <w:basedOn w:val="NormalTimesNewRoman"/>
    <w:next w:val="PubListCases"/>
    <w:rsid w:val="00A95CCF"/>
    <w:pPr>
      <w:keepNext/>
      <w:keepLines/>
      <w:spacing w:before="600" w:after="360"/>
    </w:pPr>
    <w:rPr>
      <w:b/>
      <w:sz w:val="28"/>
    </w:rPr>
  </w:style>
  <w:style w:type="paragraph" w:customStyle="1" w:styleId="PubTitle2Part">
    <w:name w:val="Pub_Title2_Part"/>
    <w:basedOn w:val="NormalTimesNewRoman"/>
    <w:rsid w:val="00A95CCF"/>
    <w:pPr>
      <w:keepNext/>
      <w:keepLines/>
      <w:spacing w:before="600" w:after="240"/>
      <w:jc w:val="center"/>
    </w:pPr>
    <w:rPr>
      <w:b/>
      <w:caps/>
    </w:rPr>
  </w:style>
  <w:style w:type="paragraph" w:customStyle="1" w:styleId="PubTitle3Article">
    <w:name w:val="Pub_Title3_Article"/>
    <w:basedOn w:val="NormalTimesNewRoman"/>
    <w:rsid w:val="00A95CCF"/>
    <w:pPr>
      <w:keepNext/>
      <w:keepLines/>
      <w:spacing w:before="360" w:after="120"/>
      <w:jc w:val="center"/>
    </w:pPr>
    <w:rPr>
      <w:b/>
      <w:smallCaps/>
      <w:sz w:val="22"/>
    </w:rPr>
  </w:style>
  <w:style w:type="paragraph" w:customStyle="1" w:styleId="PubTitle4ArticleSub">
    <w:name w:val="Pub_Title4_Article_Sub"/>
    <w:basedOn w:val="PubTitle3Article"/>
    <w:rsid w:val="00A95CCF"/>
    <w:pPr>
      <w:spacing w:before="240"/>
    </w:pPr>
    <w:rPr>
      <w:smallCaps w:val="0"/>
      <w:sz w:val="20"/>
    </w:rPr>
  </w:style>
  <w:style w:type="paragraph" w:customStyle="1" w:styleId="PubTitle5Subject">
    <w:name w:val="Pub_Title5_Subject"/>
    <w:basedOn w:val="NormalTimesNewRoman"/>
    <w:rsid w:val="00A95CCF"/>
    <w:pPr>
      <w:keepNext/>
      <w:keepLines/>
      <w:spacing w:before="240" w:after="120"/>
      <w:jc w:val="both"/>
    </w:pPr>
    <w:rPr>
      <w:b/>
      <w:i/>
    </w:rPr>
  </w:style>
  <w:style w:type="paragraph" w:customStyle="1" w:styleId="PubTitle6SubjectSub">
    <w:name w:val="Pub_Title6_Subject_Sub"/>
    <w:basedOn w:val="NormalTimesNewRoman"/>
    <w:rsid w:val="00A95CCF"/>
    <w:pPr>
      <w:keepNext/>
      <w:keepLines/>
      <w:spacing w:before="240" w:after="120"/>
      <w:ind w:left="284"/>
      <w:jc w:val="both"/>
    </w:pPr>
    <w:rPr>
      <w:b/>
      <w:sz w:val="20"/>
    </w:rPr>
  </w:style>
  <w:style w:type="paragraph" w:customStyle="1" w:styleId="PubTitle7CaseName">
    <w:name w:val="Pub_Title7_CaseName"/>
    <w:basedOn w:val="NormalTimesNewRoman"/>
    <w:rsid w:val="00A95CCF"/>
    <w:pPr>
      <w:keepLines/>
      <w:spacing w:after="240"/>
      <w:jc w:val="right"/>
    </w:pPr>
    <w:rPr>
      <w:sz w:val="22"/>
    </w:rPr>
  </w:style>
  <w:style w:type="paragraph" w:customStyle="1" w:styleId="NormalTimesNewRoman">
    <w:name w:val="Normal_TimesNewRoman"/>
    <w:rsid w:val="00A95CCF"/>
    <w:rPr>
      <w:rFonts w:ascii="Times New Roman" w:eastAsia="Times New Roman" w:hAnsi="Times New Roman" w:cs="Times New Roman"/>
      <w:sz w:val="24"/>
      <w:szCs w:val="20"/>
    </w:rPr>
  </w:style>
  <w:style w:type="character" w:customStyle="1" w:styleId="DefaultTimesNewRoman">
    <w:name w:val="Default_TimesNewRoman"/>
    <w:basedOn w:val="DefaultParagraphFont"/>
    <w:rsid w:val="00A95CC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281">
      <w:bodyDiv w:val="1"/>
      <w:marLeft w:val="0"/>
      <w:marRight w:val="0"/>
      <w:marTop w:val="0"/>
      <w:marBottom w:val="0"/>
      <w:divBdr>
        <w:top w:val="none" w:sz="0" w:space="0" w:color="auto"/>
        <w:left w:val="none" w:sz="0" w:space="0" w:color="auto"/>
        <w:bottom w:val="none" w:sz="0" w:space="0" w:color="auto"/>
        <w:right w:val="none" w:sz="0" w:space="0" w:color="auto"/>
      </w:divBdr>
    </w:div>
    <w:div w:id="172570063">
      <w:bodyDiv w:val="1"/>
      <w:marLeft w:val="0"/>
      <w:marRight w:val="0"/>
      <w:marTop w:val="0"/>
      <w:marBottom w:val="0"/>
      <w:divBdr>
        <w:top w:val="none" w:sz="0" w:space="0" w:color="auto"/>
        <w:left w:val="none" w:sz="0" w:space="0" w:color="auto"/>
        <w:bottom w:val="none" w:sz="0" w:space="0" w:color="auto"/>
        <w:right w:val="none" w:sz="0" w:space="0" w:color="auto"/>
      </w:divBdr>
      <w:divsChild>
        <w:div w:id="206334183">
          <w:marLeft w:val="0"/>
          <w:marRight w:val="0"/>
          <w:marTop w:val="0"/>
          <w:marBottom w:val="0"/>
          <w:divBdr>
            <w:top w:val="none" w:sz="0" w:space="0" w:color="auto"/>
            <w:left w:val="none" w:sz="0" w:space="0" w:color="auto"/>
            <w:bottom w:val="none" w:sz="0" w:space="0" w:color="auto"/>
            <w:right w:val="none" w:sz="0" w:space="0" w:color="auto"/>
          </w:divBdr>
          <w:divsChild>
            <w:div w:id="839084313">
              <w:marLeft w:val="0"/>
              <w:marRight w:val="0"/>
              <w:marTop w:val="0"/>
              <w:marBottom w:val="0"/>
              <w:divBdr>
                <w:top w:val="none" w:sz="0" w:space="0" w:color="auto"/>
                <w:left w:val="none" w:sz="0" w:space="0" w:color="auto"/>
                <w:bottom w:val="none" w:sz="0" w:space="0" w:color="auto"/>
                <w:right w:val="none" w:sz="0" w:space="0" w:color="auto"/>
              </w:divBdr>
              <w:divsChild>
                <w:div w:id="1193106777">
                  <w:marLeft w:val="0"/>
                  <w:marRight w:val="0"/>
                  <w:marTop w:val="0"/>
                  <w:marBottom w:val="0"/>
                  <w:divBdr>
                    <w:top w:val="none" w:sz="0" w:space="0" w:color="auto"/>
                    <w:left w:val="none" w:sz="0" w:space="0" w:color="auto"/>
                    <w:bottom w:val="none" w:sz="0" w:space="0" w:color="auto"/>
                    <w:right w:val="none" w:sz="0" w:space="0" w:color="auto"/>
                  </w:divBdr>
                  <w:divsChild>
                    <w:div w:id="1637835544">
                      <w:marLeft w:val="0"/>
                      <w:marRight w:val="0"/>
                      <w:marTop w:val="0"/>
                      <w:marBottom w:val="0"/>
                      <w:divBdr>
                        <w:top w:val="none" w:sz="0" w:space="0" w:color="auto"/>
                        <w:left w:val="none" w:sz="0" w:space="0" w:color="auto"/>
                        <w:bottom w:val="none" w:sz="0" w:space="0" w:color="auto"/>
                        <w:right w:val="none" w:sz="0" w:space="0" w:color="auto"/>
                      </w:divBdr>
                      <w:divsChild>
                        <w:div w:id="1593591619">
                          <w:marLeft w:val="0"/>
                          <w:marRight w:val="0"/>
                          <w:marTop w:val="0"/>
                          <w:marBottom w:val="0"/>
                          <w:divBdr>
                            <w:top w:val="none" w:sz="0" w:space="0" w:color="auto"/>
                            <w:left w:val="none" w:sz="0" w:space="0" w:color="auto"/>
                            <w:bottom w:val="none" w:sz="0" w:space="0" w:color="auto"/>
                            <w:right w:val="none" w:sz="0" w:space="0" w:color="auto"/>
                          </w:divBdr>
                          <w:divsChild>
                            <w:div w:id="986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374037">
      <w:bodyDiv w:val="1"/>
      <w:marLeft w:val="0"/>
      <w:marRight w:val="0"/>
      <w:marTop w:val="0"/>
      <w:marBottom w:val="0"/>
      <w:divBdr>
        <w:top w:val="none" w:sz="0" w:space="0" w:color="auto"/>
        <w:left w:val="none" w:sz="0" w:space="0" w:color="auto"/>
        <w:bottom w:val="none" w:sz="0" w:space="0" w:color="auto"/>
        <w:right w:val="none" w:sz="0" w:space="0" w:color="auto"/>
      </w:divBdr>
      <w:divsChild>
        <w:div w:id="937522986">
          <w:marLeft w:val="0"/>
          <w:marRight w:val="0"/>
          <w:marTop w:val="0"/>
          <w:marBottom w:val="0"/>
          <w:divBdr>
            <w:top w:val="none" w:sz="0" w:space="0" w:color="auto"/>
            <w:left w:val="none" w:sz="0" w:space="0" w:color="auto"/>
            <w:bottom w:val="none" w:sz="0" w:space="0" w:color="auto"/>
            <w:right w:val="none" w:sz="0" w:space="0" w:color="auto"/>
          </w:divBdr>
          <w:divsChild>
            <w:div w:id="260844995">
              <w:marLeft w:val="0"/>
              <w:marRight w:val="0"/>
              <w:marTop w:val="0"/>
              <w:marBottom w:val="0"/>
              <w:divBdr>
                <w:top w:val="none" w:sz="0" w:space="0" w:color="auto"/>
                <w:left w:val="none" w:sz="0" w:space="0" w:color="auto"/>
                <w:bottom w:val="none" w:sz="0" w:space="0" w:color="auto"/>
                <w:right w:val="none" w:sz="0" w:space="0" w:color="auto"/>
              </w:divBdr>
              <w:divsChild>
                <w:div w:id="1671057884">
                  <w:marLeft w:val="0"/>
                  <w:marRight w:val="0"/>
                  <w:marTop w:val="0"/>
                  <w:marBottom w:val="0"/>
                  <w:divBdr>
                    <w:top w:val="none" w:sz="0" w:space="0" w:color="auto"/>
                    <w:left w:val="none" w:sz="0" w:space="0" w:color="auto"/>
                    <w:bottom w:val="none" w:sz="0" w:space="0" w:color="auto"/>
                    <w:right w:val="none" w:sz="0" w:space="0" w:color="auto"/>
                  </w:divBdr>
                  <w:divsChild>
                    <w:div w:id="1052388958">
                      <w:marLeft w:val="0"/>
                      <w:marRight w:val="0"/>
                      <w:marTop w:val="0"/>
                      <w:marBottom w:val="0"/>
                      <w:divBdr>
                        <w:top w:val="none" w:sz="0" w:space="0" w:color="auto"/>
                        <w:left w:val="none" w:sz="0" w:space="0" w:color="auto"/>
                        <w:bottom w:val="none" w:sz="0" w:space="0" w:color="auto"/>
                        <w:right w:val="none" w:sz="0" w:space="0" w:color="auto"/>
                      </w:divBdr>
                      <w:divsChild>
                        <w:div w:id="1552614919">
                          <w:marLeft w:val="0"/>
                          <w:marRight w:val="0"/>
                          <w:marTop w:val="0"/>
                          <w:marBottom w:val="0"/>
                          <w:divBdr>
                            <w:top w:val="none" w:sz="0" w:space="0" w:color="auto"/>
                            <w:left w:val="none" w:sz="0" w:space="0" w:color="auto"/>
                            <w:bottom w:val="none" w:sz="0" w:space="0" w:color="auto"/>
                            <w:right w:val="none" w:sz="0" w:space="0" w:color="auto"/>
                          </w:divBdr>
                          <w:divsChild>
                            <w:div w:id="10632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19905">
      <w:bodyDiv w:val="1"/>
      <w:marLeft w:val="0"/>
      <w:marRight w:val="0"/>
      <w:marTop w:val="0"/>
      <w:marBottom w:val="0"/>
      <w:divBdr>
        <w:top w:val="none" w:sz="0" w:space="0" w:color="auto"/>
        <w:left w:val="none" w:sz="0" w:space="0" w:color="auto"/>
        <w:bottom w:val="none" w:sz="0" w:space="0" w:color="auto"/>
        <w:right w:val="none" w:sz="0" w:space="0" w:color="auto"/>
      </w:divBdr>
      <w:divsChild>
        <w:div w:id="2102481106">
          <w:marLeft w:val="0"/>
          <w:marRight w:val="0"/>
          <w:marTop w:val="0"/>
          <w:marBottom w:val="0"/>
          <w:divBdr>
            <w:top w:val="none" w:sz="0" w:space="0" w:color="auto"/>
            <w:left w:val="none" w:sz="0" w:space="0" w:color="auto"/>
            <w:bottom w:val="none" w:sz="0" w:space="0" w:color="auto"/>
            <w:right w:val="none" w:sz="0" w:space="0" w:color="auto"/>
          </w:divBdr>
          <w:divsChild>
            <w:div w:id="1232613940">
              <w:marLeft w:val="0"/>
              <w:marRight w:val="0"/>
              <w:marTop w:val="0"/>
              <w:marBottom w:val="0"/>
              <w:divBdr>
                <w:top w:val="none" w:sz="0" w:space="0" w:color="auto"/>
                <w:left w:val="none" w:sz="0" w:space="0" w:color="auto"/>
                <w:bottom w:val="none" w:sz="0" w:space="0" w:color="auto"/>
                <w:right w:val="none" w:sz="0" w:space="0" w:color="auto"/>
              </w:divBdr>
              <w:divsChild>
                <w:div w:id="857542515">
                  <w:marLeft w:val="0"/>
                  <w:marRight w:val="0"/>
                  <w:marTop w:val="0"/>
                  <w:marBottom w:val="0"/>
                  <w:divBdr>
                    <w:top w:val="none" w:sz="0" w:space="0" w:color="auto"/>
                    <w:left w:val="none" w:sz="0" w:space="0" w:color="auto"/>
                    <w:bottom w:val="none" w:sz="0" w:space="0" w:color="auto"/>
                    <w:right w:val="none" w:sz="0" w:space="0" w:color="auto"/>
                  </w:divBdr>
                  <w:divsChild>
                    <w:div w:id="1369334812">
                      <w:marLeft w:val="0"/>
                      <w:marRight w:val="0"/>
                      <w:marTop w:val="0"/>
                      <w:marBottom w:val="0"/>
                      <w:divBdr>
                        <w:top w:val="none" w:sz="0" w:space="0" w:color="auto"/>
                        <w:left w:val="none" w:sz="0" w:space="0" w:color="auto"/>
                        <w:bottom w:val="none" w:sz="0" w:space="0" w:color="auto"/>
                        <w:right w:val="none" w:sz="0" w:space="0" w:color="auto"/>
                      </w:divBdr>
                      <w:divsChild>
                        <w:div w:id="1741320025">
                          <w:marLeft w:val="0"/>
                          <w:marRight w:val="0"/>
                          <w:marTop w:val="0"/>
                          <w:marBottom w:val="0"/>
                          <w:divBdr>
                            <w:top w:val="none" w:sz="0" w:space="0" w:color="auto"/>
                            <w:left w:val="none" w:sz="0" w:space="0" w:color="auto"/>
                            <w:bottom w:val="none" w:sz="0" w:space="0" w:color="auto"/>
                            <w:right w:val="none" w:sz="0" w:space="0" w:color="auto"/>
                          </w:divBdr>
                          <w:divsChild>
                            <w:div w:id="8981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99293">
      <w:bodyDiv w:val="1"/>
      <w:marLeft w:val="0"/>
      <w:marRight w:val="0"/>
      <w:marTop w:val="0"/>
      <w:marBottom w:val="0"/>
      <w:divBdr>
        <w:top w:val="none" w:sz="0" w:space="0" w:color="auto"/>
        <w:left w:val="none" w:sz="0" w:space="0" w:color="auto"/>
        <w:bottom w:val="none" w:sz="0" w:space="0" w:color="auto"/>
        <w:right w:val="none" w:sz="0" w:space="0" w:color="auto"/>
      </w:divBdr>
    </w:div>
    <w:div w:id="1002778678">
      <w:bodyDiv w:val="1"/>
      <w:marLeft w:val="0"/>
      <w:marRight w:val="0"/>
      <w:marTop w:val="0"/>
      <w:marBottom w:val="0"/>
      <w:divBdr>
        <w:top w:val="none" w:sz="0" w:space="0" w:color="auto"/>
        <w:left w:val="none" w:sz="0" w:space="0" w:color="auto"/>
        <w:bottom w:val="none" w:sz="0" w:space="0" w:color="auto"/>
        <w:right w:val="none" w:sz="0" w:space="0" w:color="auto"/>
      </w:divBdr>
      <w:divsChild>
        <w:div w:id="877666498">
          <w:marLeft w:val="0"/>
          <w:marRight w:val="0"/>
          <w:marTop w:val="0"/>
          <w:marBottom w:val="0"/>
          <w:divBdr>
            <w:top w:val="none" w:sz="0" w:space="0" w:color="auto"/>
            <w:left w:val="none" w:sz="0" w:space="0" w:color="auto"/>
            <w:bottom w:val="none" w:sz="0" w:space="0" w:color="auto"/>
            <w:right w:val="none" w:sz="0" w:space="0" w:color="auto"/>
          </w:divBdr>
          <w:divsChild>
            <w:div w:id="1053894456">
              <w:marLeft w:val="0"/>
              <w:marRight w:val="0"/>
              <w:marTop w:val="0"/>
              <w:marBottom w:val="0"/>
              <w:divBdr>
                <w:top w:val="none" w:sz="0" w:space="0" w:color="auto"/>
                <w:left w:val="none" w:sz="0" w:space="0" w:color="auto"/>
                <w:bottom w:val="none" w:sz="0" w:space="0" w:color="auto"/>
                <w:right w:val="none" w:sz="0" w:space="0" w:color="auto"/>
              </w:divBdr>
              <w:divsChild>
                <w:div w:id="23949131">
                  <w:marLeft w:val="0"/>
                  <w:marRight w:val="0"/>
                  <w:marTop w:val="0"/>
                  <w:marBottom w:val="0"/>
                  <w:divBdr>
                    <w:top w:val="none" w:sz="0" w:space="0" w:color="auto"/>
                    <w:left w:val="none" w:sz="0" w:space="0" w:color="auto"/>
                    <w:bottom w:val="none" w:sz="0" w:space="0" w:color="auto"/>
                    <w:right w:val="none" w:sz="0" w:space="0" w:color="auto"/>
                  </w:divBdr>
                  <w:divsChild>
                    <w:div w:id="376323456">
                      <w:marLeft w:val="0"/>
                      <w:marRight w:val="0"/>
                      <w:marTop w:val="0"/>
                      <w:marBottom w:val="0"/>
                      <w:divBdr>
                        <w:top w:val="none" w:sz="0" w:space="0" w:color="auto"/>
                        <w:left w:val="none" w:sz="0" w:space="0" w:color="auto"/>
                        <w:bottom w:val="none" w:sz="0" w:space="0" w:color="auto"/>
                        <w:right w:val="none" w:sz="0" w:space="0" w:color="auto"/>
                      </w:divBdr>
                      <w:divsChild>
                        <w:div w:id="2101097880">
                          <w:marLeft w:val="0"/>
                          <w:marRight w:val="0"/>
                          <w:marTop w:val="0"/>
                          <w:marBottom w:val="0"/>
                          <w:divBdr>
                            <w:top w:val="none" w:sz="0" w:space="0" w:color="auto"/>
                            <w:left w:val="none" w:sz="0" w:space="0" w:color="auto"/>
                            <w:bottom w:val="none" w:sz="0" w:space="0" w:color="auto"/>
                            <w:right w:val="none" w:sz="0" w:space="0" w:color="auto"/>
                          </w:divBdr>
                          <w:divsChild>
                            <w:div w:id="4744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82107">
      <w:bodyDiv w:val="1"/>
      <w:marLeft w:val="0"/>
      <w:marRight w:val="0"/>
      <w:marTop w:val="0"/>
      <w:marBottom w:val="0"/>
      <w:divBdr>
        <w:top w:val="none" w:sz="0" w:space="0" w:color="auto"/>
        <w:left w:val="none" w:sz="0" w:space="0" w:color="auto"/>
        <w:bottom w:val="none" w:sz="0" w:space="0" w:color="auto"/>
        <w:right w:val="none" w:sz="0" w:space="0" w:color="auto"/>
      </w:divBdr>
      <w:divsChild>
        <w:div w:id="1573538719">
          <w:marLeft w:val="0"/>
          <w:marRight w:val="0"/>
          <w:marTop w:val="0"/>
          <w:marBottom w:val="0"/>
          <w:divBdr>
            <w:top w:val="none" w:sz="0" w:space="0" w:color="auto"/>
            <w:left w:val="none" w:sz="0" w:space="0" w:color="auto"/>
            <w:bottom w:val="none" w:sz="0" w:space="0" w:color="auto"/>
            <w:right w:val="none" w:sz="0" w:space="0" w:color="auto"/>
          </w:divBdr>
          <w:divsChild>
            <w:div w:id="51273820">
              <w:marLeft w:val="0"/>
              <w:marRight w:val="0"/>
              <w:marTop w:val="0"/>
              <w:marBottom w:val="0"/>
              <w:divBdr>
                <w:top w:val="none" w:sz="0" w:space="0" w:color="auto"/>
                <w:left w:val="none" w:sz="0" w:space="0" w:color="auto"/>
                <w:bottom w:val="none" w:sz="0" w:space="0" w:color="auto"/>
                <w:right w:val="none" w:sz="0" w:space="0" w:color="auto"/>
              </w:divBdr>
              <w:divsChild>
                <w:div w:id="1182016628">
                  <w:marLeft w:val="0"/>
                  <w:marRight w:val="0"/>
                  <w:marTop w:val="0"/>
                  <w:marBottom w:val="0"/>
                  <w:divBdr>
                    <w:top w:val="none" w:sz="0" w:space="0" w:color="auto"/>
                    <w:left w:val="none" w:sz="0" w:space="0" w:color="auto"/>
                    <w:bottom w:val="none" w:sz="0" w:space="0" w:color="auto"/>
                    <w:right w:val="none" w:sz="0" w:space="0" w:color="auto"/>
                  </w:divBdr>
                  <w:divsChild>
                    <w:div w:id="1825898698">
                      <w:marLeft w:val="0"/>
                      <w:marRight w:val="0"/>
                      <w:marTop w:val="0"/>
                      <w:marBottom w:val="0"/>
                      <w:divBdr>
                        <w:top w:val="none" w:sz="0" w:space="0" w:color="auto"/>
                        <w:left w:val="none" w:sz="0" w:space="0" w:color="auto"/>
                        <w:bottom w:val="none" w:sz="0" w:space="0" w:color="auto"/>
                        <w:right w:val="none" w:sz="0" w:space="0" w:color="auto"/>
                      </w:divBdr>
                      <w:divsChild>
                        <w:div w:id="1321038158">
                          <w:marLeft w:val="0"/>
                          <w:marRight w:val="0"/>
                          <w:marTop w:val="0"/>
                          <w:marBottom w:val="0"/>
                          <w:divBdr>
                            <w:top w:val="none" w:sz="0" w:space="0" w:color="auto"/>
                            <w:left w:val="none" w:sz="0" w:space="0" w:color="auto"/>
                            <w:bottom w:val="none" w:sz="0" w:space="0" w:color="auto"/>
                            <w:right w:val="none" w:sz="0" w:space="0" w:color="auto"/>
                          </w:divBdr>
                          <w:divsChild>
                            <w:div w:id="228544736">
                              <w:marLeft w:val="0"/>
                              <w:marRight w:val="0"/>
                              <w:marTop w:val="0"/>
                              <w:marBottom w:val="0"/>
                              <w:divBdr>
                                <w:top w:val="none" w:sz="0" w:space="0" w:color="auto"/>
                                <w:left w:val="none" w:sz="0" w:space="0" w:color="auto"/>
                                <w:bottom w:val="none" w:sz="0" w:space="0" w:color="auto"/>
                                <w:right w:val="none" w:sz="0" w:space="0" w:color="auto"/>
                              </w:divBdr>
                              <w:divsChild>
                                <w:div w:id="10494935">
                                  <w:marLeft w:val="0"/>
                                  <w:marRight w:val="0"/>
                                  <w:marTop w:val="0"/>
                                  <w:marBottom w:val="0"/>
                                  <w:divBdr>
                                    <w:top w:val="none" w:sz="0" w:space="0" w:color="auto"/>
                                    <w:left w:val="none" w:sz="0" w:space="0" w:color="auto"/>
                                    <w:bottom w:val="none" w:sz="0" w:space="0" w:color="auto"/>
                                    <w:right w:val="none" w:sz="0" w:space="0" w:color="auto"/>
                                  </w:divBdr>
                                  <w:divsChild>
                                    <w:div w:id="404494648">
                                      <w:marLeft w:val="0"/>
                                      <w:marRight w:val="0"/>
                                      <w:marTop w:val="0"/>
                                      <w:marBottom w:val="0"/>
                                      <w:divBdr>
                                        <w:top w:val="none" w:sz="0" w:space="0" w:color="auto"/>
                                        <w:left w:val="none" w:sz="0" w:space="0" w:color="auto"/>
                                        <w:bottom w:val="none" w:sz="0" w:space="0" w:color="auto"/>
                                        <w:right w:val="none" w:sz="0" w:space="0" w:color="auto"/>
                                      </w:divBdr>
                                      <w:divsChild>
                                        <w:div w:id="11440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2949929">
      <w:bodyDiv w:val="1"/>
      <w:marLeft w:val="0"/>
      <w:marRight w:val="0"/>
      <w:marTop w:val="0"/>
      <w:marBottom w:val="0"/>
      <w:divBdr>
        <w:top w:val="none" w:sz="0" w:space="0" w:color="auto"/>
        <w:left w:val="none" w:sz="0" w:space="0" w:color="auto"/>
        <w:bottom w:val="none" w:sz="0" w:space="0" w:color="auto"/>
        <w:right w:val="none" w:sz="0" w:space="0" w:color="auto"/>
      </w:divBdr>
      <w:divsChild>
        <w:div w:id="2033988236">
          <w:marLeft w:val="0"/>
          <w:marRight w:val="0"/>
          <w:marTop w:val="0"/>
          <w:marBottom w:val="0"/>
          <w:divBdr>
            <w:top w:val="none" w:sz="0" w:space="0" w:color="auto"/>
            <w:left w:val="none" w:sz="0" w:space="0" w:color="auto"/>
            <w:bottom w:val="none" w:sz="0" w:space="0" w:color="auto"/>
            <w:right w:val="none" w:sz="0" w:space="0" w:color="auto"/>
          </w:divBdr>
          <w:divsChild>
            <w:div w:id="2144929305">
              <w:marLeft w:val="0"/>
              <w:marRight w:val="0"/>
              <w:marTop w:val="0"/>
              <w:marBottom w:val="0"/>
              <w:divBdr>
                <w:top w:val="none" w:sz="0" w:space="0" w:color="auto"/>
                <w:left w:val="none" w:sz="0" w:space="0" w:color="auto"/>
                <w:bottom w:val="none" w:sz="0" w:space="0" w:color="auto"/>
                <w:right w:val="none" w:sz="0" w:space="0" w:color="auto"/>
              </w:divBdr>
              <w:divsChild>
                <w:div w:id="1555847861">
                  <w:marLeft w:val="0"/>
                  <w:marRight w:val="0"/>
                  <w:marTop w:val="0"/>
                  <w:marBottom w:val="0"/>
                  <w:divBdr>
                    <w:top w:val="none" w:sz="0" w:space="0" w:color="auto"/>
                    <w:left w:val="none" w:sz="0" w:space="0" w:color="auto"/>
                    <w:bottom w:val="none" w:sz="0" w:space="0" w:color="auto"/>
                    <w:right w:val="none" w:sz="0" w:space="0" w:color="auto"/>
                  </w:divBdr>
                  <w:divsChild>
                    <w:div w:id="404566836">
                      <w:marLeft w:val="0"/>
                      <w:marRight w:val="0"/>
                      <w:marTop w:val="0"/>
                      <w:marBottom w:val="0"/>
                      <w:divBdr>
                        <w:top w:val="none" w:sz="0" w:space="0" w:color="auto"/>
                        <w:left w:val="none" w:sz="0" w:space="0" w:color="auto"/>
                        <w:bottom w:val="none" w:sz="0" w:space="0" w:color="auto"/>
                        <w:right w:val="none" w:sz="0" w:space="0" w:color="auto"/>
                      </w:divBdr>
                      <w:divsChild>
                        <w:div w:id="1030842075">
                          <w:marLeft w:val="0"/>
                          <w:marRight w:val="0"/>
                          <w:marTop w:val="0"/>
                          <w:marBottom w:val="0"/>
                          <w:divBdr>
                            <w:top w:val="none" w:sz="0" w:space="0" w:color="auto"/>
                            <w:left w:val="none" w:sz="0" w:space="0" w:color="auto"/>
                            <w:bottom w:val="none" w:sz="0" w:space="0" w:color="auto"/>
                            <w:right w:val="none" w:sz="0" w:space="0" w:color="auto"/>
                          </w:divBdr>
                          <w:divsChild>
                            <w:div w:id="2178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073006">
      <w:bodyDiv w:val="1"/>
      <w:marLeft w:val="0"/>
      <w:marRight w:val="0"/>
      <w:marTop w:val="0"/>
      <w:marBottom w:val="0"/>
      <w:divBdr>
        <w:top w:val="none" w:sz="0" w:space="0" w:color="auto"/>
        <w:left w:val="none" w:sz="0" w:space="0" w:color="auto"/>
        <w:bottom w:val="none" w:sz="0" w:space="0" w:color="auto"/>
        <w:right w:val="none" w:sz="0" w:space="0" w:color="auto"/>
      </w:divBdr>
      <w:divsChild>
        <w:div w:id="51392414">
          <w:marLeft w:val="0"/>
          <w:marRight w:val="0"/>
          <w:marTop w:val="0"/>
          <w:marBottom w:val="0"/>
          <w:divBdr>
            <w:top w:val="none" w:sz="0" w:space="0" w:color="auto"/>
            <w:left w:val="none" w:sz="0" w:space="0" w:color="auto"/>
            <w:bottom w:val="none" w:sz="0" w:space="0" w:color="auto"/>
            <w:right w:val="none" w:sz="0" w:space="0" w:color="auto"/>
          </w:divBdr>
          <w:divsChild>
            <w:div w:id="593246239">
              <w:marLeft w:val="0"/>
              <w:marRight w:val="0"/>
              <w:marTop w:val="0"/>
              <w:marBottom w:val="0"/>
              <w:divBdr>
                <w:top w:val="none" w:sz="0" w:space="0" w:color="auto"/>
                <w:left w:val="none" w:sz="0" w:space="0" w:color="auto"/>
                <w:bottom w:val="none" w:sz="0" w:space="0" w:color="auto"/>
                <w:right w:val="none" w:sz="0" w:space="0" w:color="auto"/>
              </w:divBdr>
              <w:divsChild>
                <w:div w:id="1207452007">
                  <w:marLeft w:val="0"/>
                  <w:marRight w:val="0"/>
                  <w:marTop w:val="0"/>
                  <w:marBottom w:val="0"/>
                  <w:divBdr>
                    <w:top w:val="none" w:sz="0" w:space="0" w:color="auto"/>
                    <w:left w:val="none" w:sz="0" w:space="0" w:color="auto"/>
                    <w:bottom w:val="none" w:sz="0" w:space="0" w:color="auto"/>
                    <w:right w:val="none" w:sz="0" w:space="0" w:color="auto"/>
                  </w:divBdr>
                  <w:divsChild>
                    <w:div w:id="786509465">
                      <w:marLeft w:val="0"/>
                      <w:marRight w:val="0"/>
                      <w:marTop w:val="0"/>
                      <w:marBottom w:val="0"/>
                      <w:divBdr>
                        <w:top w:val="none" w:sz="0" w:space="0" w:color="auto"/>
                        <w:left w:val="none" w:sz="0" w:space="0" w:color="auto"/>
                        <w:bottom w:val="none" w:sz="0" w:space="0" w:color="auto"/>
                        <w:right w:val="none" w:sz="0" w:space="0" w:color="auto"/>
                      </w:divBdr>
                      <w:divsChild>
                        <w:div w:id="569733629">
                          <w:marLeft w:val="0"/>
                          <w:marRight w:val="0"/>
                          <w:marTop w:val="0"/>
                          <w:marBottom w:val="0"/>
                          <w:divBdr>
                            <w:top w:val="none" w:sz="0" w:space="0" w:color="auto"/>
                            <w:left w:val="none" w:sz="0" w:space="0" w:color="auto"/>
                            <w:bottom w:val="none" w:sz="0" w:space="0" w:color="auto"/>
                            <w:right w:val="none" w:sz="0" w:space="0" w:color="auto"/>
                          </w:divBdr>
                          <w:divsChild>
                            <w:div w:id="14560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32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34B0FA-BA4D-4A8A-AA08-BBDC69E0A9E3}"/>
</file>

<file path=customXml/itemProps2.xml><?xml version="1.0" encoding="utf-8"?>
<ds:datastoreItem xmlns:ds="http://schemas.openxmlformats.org/officeDocument/2006/customXml" ds:itemID="{3F80EDEF-D607-4685-84BA-8D4D20052B9A}"/>
</file>

<file path=customXml/itemProps3.xml><?xml version="1.0" encoding="utf-8"?>
<ds:datastoreItem xmlns:ds="http://schemas.openxmlformats.org/officeDocument/2006/customXml" ds:itemID="{D8E03D7B-056B-4F8B-B215-406F766728A3}"/>
</file>

<file path=customXml/itemProps4.xml><?xml version="1.0" encoding="utf-8"?>
<ds:datastoreItem xmlns:ds="http://schemas.openxmlformats.org/officeDocument/2006/customXml" ds:itemID="{9DD1EDE4-380B-4493-BDF6-325DD908963A}"/>
</file>

<file path=docProps/app.xml><?xml version="1.0" encoding="utf-8"?>
<Properties xmlns="http://schemas.openxmlformats.org/officeDocument/2006/extended-properties" xmlns:vt="http://schemas.openxmlformats.org/officeDocument/2006/docPropsVTypes">
  <Template>Normal</Template>
  <TotalTime>0</TotalTime>
  <Pages>1</Pages>
  <Words>6110</Words>
  <Characters>34829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40858</CharactersWithSpaces>
  <SharedDoc>false</SharedDoc>
  <HLinks>
    <vt:vector size="6" baseType="variant">
      <vt:variant>
        <vt:i4>4587613</vt:i4>
      </vt:variant>
      <vt:variant>
        <vt:i4>0</vt:i4>
      </vt:variant>
      <vt:variant>
        <vt:i4>0</vt:i4>
      </vt:variant>
      <vt:variant>
        <vt:i4>5</vt:i4>
      </vt:variant>
      <vt:variant>
        <vt:lpwstr>http://insite.dhcour.coe.int/link/tikitlink.asp?doc=2309499&amp;lib=court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cp:lastModifiedBy/>
  <cp:revision>1</cp:revision>
  <cp:lastPrinted>2014-03-19T09:54:00Z</cp:lastPrinted>
  <dcterms:created xsi:type="dcterms:W3CDTF">2014-04-08T13:23:00Z</dcterms:created>
  <dcterms:modified xsi:type="dcterms:W3CDTF">2014-04-08T13:23:00Z</dcterms:modified>
  <cp:category>ECHR Template</cp:category>
</cp:coreProperties>
</file>